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D7DB" w14:textId="56B9655D" w:rsidR="00A71ADE" w:rsidRDefault="00312A57">
      <w:pPr>
        <w:spacing w:line="360" w:lineRule="auto"/>
        <w:rPr>
          <w:kern w:val="0"/>
          <w:sz w:val="16"/>
          <w:szCs w:val="16"/>
        </w:rPr>
      </w:pP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证券代码：</w:t>
      </w:r>
      <w:r>
        <w:rPr>
          <w:kern w:val="0"/>
          <w:sz w:val="24"/>
          <w:szCs w:val="24"/>
        </w:rPr>
        <w:t xml:space="preserve">300436           </w:t>
      </w:r>
      <w:r>
        <w:rPr>
          <w:kern w:val="0"/>
          <w:sz w:val="24"/>
          <w:szCs w:val="24"/>
        </w:rPr>
        <w:t>证券简称：广生堂</w:t>
      </w:r>
      <w:r>
        <w:rPr>
          <w:kern w:val="0"/>
          <w:sz w:val="24"/>
          <w:szCs w:val="24"/>
        </w:rPr>
        <w:t xml:space="preserve">           </w:t>
      </w:r>
      <w:r>
        <w:rPr>
          <w:kern w:val="0"/>
          <w:sz w:val="24"/>
          <w:szCs w:val="24"/>
        </w:rPr>
        <w:t>公告编号：</w:t>
      </w:r>
      <w:r w:rsidR="006B4385">
        <w:rPr>
          <w:rFonts w:hint="eastAsia"/>
          <w:kern w:val="0"/>
          <w:sz w:val="24"/>
          <w:szCs w:val="24"/>
        </w:rPr>
        <w:t>2025044</w:t>
      </w:r>
    </w:p>
    <w:p w14:paraId="772EB144" w14:textId="77777777" w:rsidR="00A71ADE" w:rsidRDefault="00312A57">
      <w:pPr>
        <w:spacing w:beforeLines="50" w:before="156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福建广生堂药业股份有限公司</w:t>
      </w:r>
    </w:p>
    <w:p w14:paraId="55536D32" w14:textId="13049D9A" w:rsidR="00A71ADE" w:rsidRDefault="00312A5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关于乙肝治疗创新药</w:t>
      </w:r>
      <w:r>
        <w:rPr>
          <w:rFonts w:hint="eastAsia"/>
          <w:b/>
          <w:sz w:val="32"/>
          <w:szCs w:val="32"/>
        </w:rPr>
        <w:t>GST-HG1</w:t>
      </w:r>
      <w:r w:rsidR="007F12F7"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获得</w:t>
      </w:r>
    </w:p>
    <w:p w14:paraId="7C90FBCA" w14:textId="49D89E08" w:rsidR="00A71ADE" w:rsidRDefault="00312A5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II</w:t>
      </w:r>
      <w:r>
        <w:rPr>
          <w:rFonts w:hint="eastAsia"/>
          <w:b/>
          <w:sz w:val="32"/>
          <w:szCs w:val="32"/>
        </w:rPr>
        <w:t>期临床研究总结报告的公告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71ADE" w14:paraId="01EA1412" w14:textId="77777777">
        <w:trPr>
          <w:trHeight w:val="1247"/>
        </w:trPr>
        <w:tc>
          <w:tcPr>
            <w:tcW w:w="8522" w:type="dxa"/>
            <w:vAlign w:val="center"/>
          </w:tcPr>
          <w:p w14:paraId="61187269" w14:textId="77777777" w:rsidR="00A71ADE" w:rsidRDefault="00312A57">
            <w:pPr>
              <w:ind w:firstLineChars="200" w:firstLine="600"/>
              <w:rPr>
                <w:b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本公司及董事会全体成员保证信息披露的内容真实、准确、完整，没有虚假记载、误导性陈述或重大遗漏。</w:t>
            </w:r>
          </w:p>
        </w:tc>
      </w:tr>
    </w:tbl>
    <w:p w14:paraId="0C109590" w14:textId="57BF4283" w:rsidR="00A71ADE" w:rsidRDefault="00312A57">
      <w:pPr>
        <w:spacing w:beforeLines="50" w:before="156" w:line="360" w:lineRule="auto"/>
        <w:ind w:firstLineChars="200" w:firstLine="480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福建广生堂药业股份有限公司（简称</w:t>
      </w:r>
      <w:r>
        <w:rPr>
          <w:rFonts w:hint="eastAsia"/>
          <w:color w:val="000000"/>
          <w:kern w:val="0"/>
          <w:sz w:val="24"/>
          <w:szCs w:val="24"/>
        </w:rPr>
        <w:t>“</w:t>
      </w:r>
      <w:r>
        <w:rPr>
          <w:color w:val="000000"/>
          <w:kern w:val="0"/>
          <w:sz w:val="24"/>
          <w:szCs w:val="24"/>
        </w:rPr>
        <w:t>公司</w:t>
      </w:r>
      <w:r>
        <w:rPr>
          <w:rFonts w:hint="eastAsia"/>
          <w:color w:val="000000"/>
          <w:kern w:val="0"/>
          <w:sz w:val="24"/>
          <w:szCs w:val="24"/>
        </w:rPr>
        <w:t>”</w:t>
      </w:r>
      <w:r>
        <w:rPr>
          <w:color w:val="000000"/>
          <w:kern w:val="0"/>
          <w:sz w:val="24"/>
          <w:szCs w:val="24"/>
        </w:rPr>
        <w:t>）</w:t>
      </w:r>
      <w:r>
        <w:rPr>
          <w:rFonts w:hint="eastAsia"/>
          <w:color w:val="000000"/>
          <w:kern w:val="0"/>
          <w:sz w:val="24"/>
          <w:szCs w:val="24"/>
        </w:rPr>
        <w:t>乙肝治疗创新药</w:t>
      </w:r>
      <w:r>
        <w:rPr>
          <w:rFonts w:hint="eastAsia"/>
          <w:color w:val="000000"/>
          <w:kern w:val="0"/>
          <w:sz w:val="24"/>
          <w:szCs w:val="24"/>
        </w:rPr>
        <w:t>GST-HG1</w:t>
      </w:r>
      <w:r w:rsidR="00964326">
        <w:rPr>
          <w:rFonts w:hint="eastAsia"/>
          <w:color w:val="000000"/>
          <w:kern w:val="0"/>
          <w:sz w:val="24"/>
          <w:szCs w:val="24"/>
        </w:rPr>
        <w:t>3</w:t>
      </w:r>
      <w:r>
        <w:rPr>
          <w:rFonts w:hint="eastAsia"/>
          <w:color w:val="000000"/>
          <w:kern w:val="0"/>
          <w:sz w:val="24"/>
          <w:szCs w:val="24"/>
        </w:rPr>
        <w:t>1</w:t>
      </w:r>
      <w:r>
        <w:rPr>
          <w:rFonts w:hint="eastAsia"/>
          <w:color w:val="000000"/>
          <w:kern w:val="0"/>
          <w:sz w:val="24"/>
          <w:szCs w:val="24"/>
        </w:rPr>
        <w:t>已完成</w:t>
      </w:r>
      <w:r w:rsidR="00704538">
        <w:rPr>
          <w:rFonts w:hint="eastAsia"/>
          <w:color w:val="000000"/>
          <w:kern w:val="0"/>
          <w:sz w:val="24"/>
          <w:szCs w:val="24"/>
        </w:rPr>
        <w:t>慢性乙型肝炎</w:t>
      </w:r>
      <w:r>
        <w:rPr>
          <w:rFonts w:hint="eastAsia"/>
          <w:color w:val="000000"/>
          <w:kern w:val="0"/>
          <w:sz w:val="24"/>
          <w:szCs w:val="24"/>
        </w:rPr>
        <w:t>II</w:t>
      </w:r>
      <w:r>
        <w:rPr>
          <w:rFonts w:hint="eastAsia"/>
          <w:color w:val="000000"/>
          <w:kern w:val="0"/>
          <w:sz w:val="24"/>
          <w:szCs w:val="24"/>
        </w:rPr>
        <w:t>期临床试验，并于近日获得</w:t>
      </w:r>
      <w:r>
        <w:rPr>
          <w:rFonts w:hint="eastAsia"/>
          <w:color w:val="000000"/>
          <w:kern w:val="0"/>
          <w:sz w:val="24"/>
          <w:szCs w:val="24"/>
        </w:rPr>
        <w:t>II</w:t>
      </w:r>
      <w:r>
        <w:rPr>
          <w:rFonts w:hint="eastAsia"/>
          <w:color w:val="000000"/>
          <w:kern w:val="0"/>
          <w:sz w:val="24"/>
          <w:szCs w:val="24"/>
        </w:rPr>
        <w:t>期临床试验的研究总结报告</w:t>
      </w:r>
      <w:r w:rsidR="002E4FA9">
        <w:rPr>
          <w:rFonts w:hint="eastAsia"/>
          <w:color w:val="000000"/>
          <w:kern w:val="0"/>
          <w:sz w:val="24"/>
          <w:szCs w:val="24"/>
        </w:rPr>
        <w:t>。</w:t>
      </w:r>
      <w:r>
        <w:rPr>
          <w:rFonts w:hint="eastAsia"/>
          <w:color w:val="000000"/>
          <w:kern w:val="0"/>
          <w:sz w:val="24"/>
          <w:szCs w:val="24"/>
        </w:rPr>
        <w:t>研究结果显示</w:t>
      </w:r>
      <w:r w:rsidR="0009099C">
        <w:rPr>
          <w:rFonts w:hint="eastAsia"/>
          <w:color w:val="000000"/>
          <w:kern w:val="0"/>
          <w:sz w:val="24"/>
          <w:szCs w:val="24"/>
        </w:rPr>
        <w:t>，</w:t>
      </w:r>
      <w:r>
        <w:rPr>
          <w:rFonts w:hint="eastAsia"/>
          <w:color w:val="000000"/>
          <w:kern w:val="0"/>
          <w:sz w:val="24"/>
          <w:szCs w:val="24"/>
        </w:rPr>
        <w:t>GST-HG1</w:t>
      </w:r>
      <w:r w:rsidR="00092D68">
        <w:rPr>
          <w:rFonts w:hint="eastAsia"/>
          <w:color w:val="000000"/>
          <w:kern w:val="0"/>
          <w:sz w:val="24"/>
          <w:szCs w:val="24"/>
        </w:rPr>
        <w:t>3</w:t>
      </w:r>
      <w:r>
        <w:rPr>
          <w:rFonts w:hint="eastAsia"/>
          <w:color w:val="000000"/>
          <w:kern w:val="0"/>
          <w:sz w:val="24"/>
          <w:szCs w:val="24"/>
        </w:rPr>
        <w:t>1</w:t>
      </w:r>
      <w:r>
        <w:rPr>
          <w:rFonts w:hint="eastAsia"/>
          <w:color w:val="000000"/>
          <w:kern w:val="0"/>
          <w:sz w:val="24"/>
          <w:szCs w:val="24"/>
        </w:rPr>
        <w:t>片对慢性乙型肝炎患者</w:t>
      </w:r>
      <w:r w:rsidR="002028A3">
        <w:rPr>
          <w:rFonts w:hint="eastAsia"/>
          <w:color w:val="000000"/>
          <w:kern w:val="0"/>
          <w:sz w:val="24"/>
          <w:szCs w:val="24"/>
        </w:rPr>
        <w:t>的</w:t>
      </w:r>
      <w:r w:rsidR="00205B49">
        <w:rPr>
          <w:rFonts w:hint="eastAsia"/>
          <w:sz w:val="24"/>
          <w:szCs w:val="24"/>
        </w:rPr>
        <w:t>乙肝表面抗原</w:t>
      </w:r>
      <w:r w:rsidR="00092D68">
        <w:rPr>
          <w:rFonts w:hint="eastAsia"/>
          <w:color w:val="000000"/>
          <w:kern w:val="0"/>
          <w:sz w:val="24"/>
          <w:szCs w:val="24"/>
        </w:rPr>
        <w:t>HBsAg</w:t>
      </w:r>
      <w:r w:rsidR="00092D68">
        <w:rPr>
          <w:rFonts w:hint="eastAsia"/>
          <w:color w:val="000000"/>
          <w:kern w:val="0"/>
          <w:sz w:val="24"/>
          <w:szCs w:val="24"/>
        </w:rPr>
        <w:t>有</w:t>
      </w:r>
      <w:r w:rsidR="003F2791">
        <w:rPr>
          <w:rFonts w:hint="eastAsia"/>
          <w:color w:val="000000"/>
          <w:kern w:val="0"/>
          <w:sz w:val="24"/>
          <w:szCs w:val="24"/>
        </w:rPr>
        <w:t>明显</w:t>
      </w:r>
      <w:r w:rsidR="00092D68">
        <w:rPr>
          <w:rFonts w:hint="eastAsia"/>
          <w:color w:val="000000"/>
          <w:kern w:val="0"/>
          <w:sz w:val="24"/>
          <w:szCs w:val="24"/>
        </w:rPr>
        <w:t>抑制效果</w:t>
      </w:r>
      <w:r>
        <w:rPr>
          <w:rFonts w:hint="eastAsia"/>
          <w:color w:val="000000"/>
          <w:kern w:val="0"/>
          <w:sz w:val="24"/>
          <w:szCs w:val="24"/>
        </w:rPr>
        <w:t>，</w:t>
      </w:r>
      <w:r w:rsidR="00092D68">
        <w:rPr>
          <w:rFonts w:hint="eastAsia"/>
          <w:color w:val="000000"/>
          <w:kern w:val="0"/>
          <w:sz w:val="24"/>
          <w:szCs w:val="24"/>
        </w:rPr>
        <w:t>且安全性良好</w:t>
      </w:r>
      <w:r>
        <w:rPr>
          <w:rFonts w:hint="eastAsia"/>
          <w:color w:val="000000"/>
          <w:kern w:val="0"/>
          <w:sz w:val="24"/>
          <w:szCs w:val="24"/>
        </w:rPr>
        <w:t>。现将有关内容公告如下：</w:t>
      </w:r>
    </w:p>
    <w:p w14:paraId="7346706E" w14:textId="77777777" w:rsidR="00A71ADE" w:rsidRDefault="00312A57">
      <w:pPr>
        <w:spacing w:beforeLines="50" w:before="156" w:line="360" w:lineRule="auto"/>
        <w:ind w:firstLineChars="200" w:firstLine="482"/>
        <w:rPr>
          <w:b/>
          <w:color w:val="000000"/>
          <w:kern w:val="0"/>
          <w:sz w:val="24"/>
          <w:szCs w:val="24"/>
        </w:rPr>
      </w:pPr>
      <w:r>
        <w:rPr>
          <w:rFonts w:hint="eastAsia"/>
          <w:b/>
          <w:color w:val="000000"/>
          <w:kern w:val="0"/>
          <w:sz w:val="24"/>
          <w:szCs w:val="24"/>
        </w:rPr>
        <w:t>一、基本情况</w:t>
      </w:r>
    </w:p>
    <w:p w14:paraId="705428DB" w14:textId="3123F479" w:rsidR="00A71ADE" w:rsidRDefault="00312A57">
      <w:pPr>
        <w:spacing w:line="360" w:lineRule="auto"/>
        <w:ind w:firstLineChars="200" w:firstLine="480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研究药物：</w:t>
      </w:r>
      <w:r>
        <w:rPr>
          <w:rFonts w:hint="eastAsia"/>
          <w:color w:val="000000"/>
          <w:kern w:val="0"/>
          <w:sz w:val="24"/>
          <w:szCs w:val="24"/>
        </w:rPr>
        <w:t>GST-HG1</w:t>
      </w:r>
      <w:r w:rsidR="00092D68">
        <w:rPr>
          <w:rFonts w:hint="eastAsia"/>
          <w:color w:val="000000"/>
          <w:kern w:val="0"/>
          <w:sz w:val="24"/>
          <w:szCs w:val="24"/>
        </w:rPr>
        <w:t>3</w:t>
      </w:r>
      <w:r>
        <w:rPr>
          <w:rFonts w:hint="eastAsia"/>
          <w:color w:val="000000"/>
          <w:kern w:val="0"/>
          <w:sz w:val="24"/>
          <w:szCs w:val="24"/>
        </w:rPr>
        <w:t>1</w:t>
      </w:r>
      <w:r>
        <w:rPr>
          <w:rFonts w:hint="eastAsia"/>
          <w:color w:val="000000"/>
          <w:kern w:val="0"/>
          <w:sz w:val="24"/>
          <w:szCs w:val="24"/>
        </w:rPr>
        <w:t>片</w:t>
      </w:r>
    </w:p>
    <w:p w14:paraId="67B042AE" w14:textId="4B669169" w:rsidR="00A71ADE" w:rsidRDefault="00312A57">
      <w:pPr>
        <w:spacing w:line="360" w:lineRule="auto"/>
        <w:ind w:firstLineChars="200" w:firstLine="480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适应症：用于慢性乙型肝炎的治疗</w:t>
      </w:r>
    </w:p>
    <w:p w14:paraId="6FFB076B" w14:textId="517A9BE4" w:rsidR="00A71ADE" w:rsidRDefault="00312A57">
      <w:pPr>
        <w:spacing w:line="360" w:lineRule="auto"/>
        <w:ind w:firstLineChars="200" w:firstLine="480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研究项目：</w:t>
      </w:r>
      <w:r w:rsidR="00092D68" w:rsidRPr="00092D68">
        <w:rPr>
          <w:rFonts w:hint="eastAsia"/>
          <w:color w:val="000000"/>
          <w:kern w:val="0"/>
          <w:sz w:val="24"/>
          <w:szCs w:val="24"/>
        </w:rPr>
        <w:t>评价</w:t>
      </w:r>
      <w:r w:rsidR="00092D68" w:rsidRPr="00092D68">
        <w:rPr>
          <w:rFonts w:hint="eastAsia"/>
          <w:color w:val="000000"/>
          <w:kern w:val="0"/>
          <w:sz w:val="24"/>
          <w:szCs w:val="24"/>
        </w:rPr>
        <w:t>GST-HG131</w:t>
      </w:r>
      <w:r w:rsidR="00092D68" w:rsidRPr="00092D68">
        <w:rPr>
          <w:rFonts w:hint="eastAsia"/>
          <w:color w:val="000000"/>
          <w:kern w:val="0"/>
          <w:sz w:val="24"/>
          <w:szCs w:val="24"/>
        </w:rPr>
        <w:t>片在慢性乙型肝炎患者中的安全性、有效性的随机、双盲、安慰剂对照的</w:t>
      </w:r>
      <w:r w:rsidR="00092D68" w:rsidRPr="00092D68">
        <w:rPr>
          <w:rFonts w:hint="eastAsia"/>
          <w:color w:val="000000"/>
          <w:kern w:val="0"/>
          <w:sz w:val="24"/>
          <w:szCs w:val="24"/>
        </w:rPr>
        <w:t>II</w:t>
      </w:r>
      <w:r w:rsidR="00092D68" w:rsidRPr="00092D68">
        <w:rPr>
          <w:rFonts w:hint="eastAsia"/>
          <w:color w:val="000000"/>
          <w:kern w:val="0"/>
          <w:sz w:val="24"/>
          <w:szCs w:val="24"/>
        </w:rPr>
        <w:t>期临床研究</w:t>
      </w:r>
    </w:p>
    <w:p w14:paraId="0C587787" w14:textId="2A557D68" w:rsidR="00A71ADE" w:rsidRDefault="00312A57">
      <w:pPr>
        <w:spacing w:line="360" w:lineRule="auto"/>
        <w:ind w:firstLineChars="200" w:firstLine="480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临床批件号：</w:t>
      </w:r>
      <w:r w:rsidR="00F67118" w:rsidRPr="00F67118">
        <w:rPr>
          <w:color w:val="000000"/>
          <w:kern w:val="0"/>
          <w:sz w:val="24"/>
          <w:szCs w:val="24"/>
        </w:rPr>
        <w:t>CXHL1900412</w:t>
      </w:r>
      <w:r>
        <w:rPr>
          <w:color w:val="000000"/>
          <w:kern w:val="0"/>
          <w:sz w:val="24"/>
          <w:szCs w:val="24"/>
        </w:rPr>
        <w:t>/</w:t>
      </w:r>
      <w:r w:rsidR="00F67118" w:rsidRPr="00F67118">
        <w:t xml:space="preserve"> </w:t>
      </w:r>
      <w:r w:rsidR="00F67118" w:rsidRPr="00F67118">
        <w:rPr>
          <w:color w:val="000000"/>
          <w:kern w:val="0"/>
          <w:sz w:val="24"/>
          <w:szCs w:val="24"/>
        </w:rPr>
        <w:t>CXHL190041</w:t>
      </w:r>
      <w:r w:rsidR="00F67118">
        <w:rPr>
          <w:rFonts w:hint="eastAsia"/>
          <w:color w:val="000000"/>
          <w:kern w:val="0"/>
          <w:sz w:val="24"/>
          <w:szCs w:val="24"/>
        </w:rPr>
        <w:t>3/</w:t>
      </w:r>
      <w:r w:rsidR="00F67118" w:rsidRPr="00F67118">
        <w:t xml:space="preserve"> </w:t>
      </w:r>
      <w:r w:rsidR="00F67118" w:rsidRPr="00F67118">
        <w:rPr>
          <w:color w:val="000000"/>
          <w:kern w:val="0"/>
          <w:sz w:val="24"/>
          <w:szCs w:val="24"/>
        </w:rPr>
        <w:t>CXHL190041</w:t>
      </w:r>
      <w:r w:rsidR="00F67118">
        <w:rPr>
          <w:rFonts w:hint="eastAsia"/>
          <w:color w:val="000000"/>
          <w:kern w:val="0"/>
          <w:sz w:val="24"/>
          <w:szCs w:val="24"/>
        </w:rPr>
        <w:t>4</w:t>
      </w:r>
    </w:p>
    <w:p w14:paraId="38EE3FFF" w14:textId="64AB147B" w:rsidR="00A71ADE" w:rsidRDefault="00312A57">
      <w:pPr>
        <w:spacing w:line="360" w:lineRule="auto"/>
        <w:ind w:firstLineChars="200" w:firstLine="480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研究负责单位：</w:t>
      </w:r>
      <w:r w:rsidR="000021D9" w:rsidRPr="000021D9">
        <w:rPr>
          <w:rFonts w:hint="eastAsia"/>
          <w:color w:val="000000"/>
          <w:kern w:val="0"/>
          <w:sz w:val="24"/>
          <w:szCs w:val="24"/>
        </w:rPr>
        <w:t>中国人民解放军总医院第五医学中心</w:t>
      </w:r>
    </w:p>
    <w:p w14:paraId="2719FE31" w14:textId="33F3D17F" w:rsidR="00A71ADE" w:rsidRDefault="00312A57">
      <w:pPr>
        <w:spacing w:line="360" w:lineRule="auto"/>
        <w:ind w:firstLineChars="200" w:firstLine="480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主要研究者（</w:t>
      </w:r>
      <w:r>
        <w:rPr>
          <w:rFonts w:hint="eastAsia"/>
          <w:color w:val="000000"/>
          <w:kern w:val="0"/>
          <w:sz w:val="24"/>
          <w:szCs w:val="24"/>
        </w:rPr>
        <w:t>PI</w:t>
      </w:r>
      <w:r>
        <w:rPr>
          <w:rFonts w:hint="eastAsia"/>
          <w:color w:val="000000"/>
          <w:kern w:val="0"/>
          <w:sz w:val="24"/>
          <w:szCs w:val="24"/>
        </w:rPr>
        <w:t>）</w:t>
      </w:r>
      <w:r w:rsidR="000021D9">
        <w:rPr>
          <w:rFonts w:hint="eastAsia"/>
          <w:color w:val="000000"/>
          <w:kern w:val="0"/>
          <w:sz w:val="24"/>
          <w:szCs w:val="24"/>
        </w:rPr>
        <w:t>：王福生院士</w:t>
      </w:r>
    </w:p>
    <w:p w14:paraId="2B396E80" w14:textId="0B4A634A" w:rsidR="00A71ADE" w:rsidRDefault="00043CAD">
      <w:pPr>
        <w:spacing w:line="360" w:lineRule="auto"/>
        <w:ind w:firstLineChars="200" w:firstLine="480"/>
        <w:rPr>
          <w:color w:val="000000"/>
          <w:kern w:val="0"/>
          <w:sz w:val="24"/>
          <w:szCs w:val="24"/>
        </w:rPr>
      </w:pPr>
      <w:r w:rsidRPr="00043CAD">
        <w:rPr>
          <w:rFonts w:hint="eastAsia"/>
          <w:color w:val="000000"/>
          <w:kern w:val="0"/>
          <w:sz w:val="24"/>
          <w:szCs w:val="24"/>
        </w:rPr>
        <w:t>主要参与研究者：侯金林教授（南方医科大学南方医院）、黄祖雄教授（福建医科大学孟超肝胆医院）、蔡大川教授（重庆医科大学附属二医院）等。</w:t>
      </w:r>
    </w:p>
    <w:p w14:paraId="5550F007" w14:textId="77777777" w:rsidR="00A71ADE" w:rsidRDefault="004D1C06">
      <w:pPr>
        <w:spacing w:line="360" w:lineRule="auto"/>
        <w:ind w:firstLineChars="200" w:firstLine="480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申办人：福建广生中</w:t>
      </w:r>
      <w:proofErr w:type="gramStart"/>
      <w:r>
        <w:rPr>
          <w:rFonts w:hint="eastAsia"/>
          <w:color w:val="000000"/>
          <w:kern w:val="0"/>
          <w:sz w:val="24"/>
          <w:szCs w:val="24"/>
        </w:rPr>
        <w:t>霖</w:t>
      </w:r>
      <w:proofErr w:type="gramEnd"/>
      <w:r>
        <w:rPr>
          <w:rFonts w:hint="eastAsia"/>
          <w:color w:val="000000"/>
          <w:kern w:val="0"/>
          <w:sz w:val="24"/>
          <w:szCs w:val="24"/>
        </w:rPr>
        <w:t>生物科技有限公司</w:t>
      </w:r>
    </w:p>
    <w:p w14:paraId="1D1519FB" w14:textId="77777777" w:rsidR="00A71ADE" w:rsidRDefault="00312A57">
      <w:pPr>
        <w:spacing w:beforeLines="50" w:before="156" w:line="360" w:lineRule="auto"/>
        <w:ind w:firstLineChars="200" w:firstLine="482"/>
        <w:rPr>
          <w:color w:val="000000"/>
          <w:kern w:val="0"/>
          <w:sz w:val="24"/>
          <w:szCs w:val="24"/>
        </w:rPr>
      </w:pPr>
      <w:r>
        <w:rPr>
          <w:rFonts w:hint="eastAsia"/>
          <w:b/>
          <w:color w:val="000000"/>
          <w:kern w:val="0"/>
          <w:sz w:val="24"/>
          <w:szCs w:val="24"/>
        </w:rPr>
        <w:t>二、同类药品状况</w:t>
      </w:r>
    </w:p>
    <w:p w14:paraId="073B5493" w14:textId="78D672EB" w:rsidR="00CA31EB" w:rsidRPr="00CA31EB" w:rsidRDefault="00722960" w:rsidP="00722960">
      <w:pPr>
        <w:spacing w:line="360" w:lineRule="auto"/>
        <w:ind w:firstLineChars="200" w:firstLine="480"/>
        <w:rPr>
          <w:color w:val="000000"/>
          <w:kern w:val="0"/>
          <w:sz w:val="24"/>
          <w:szCs w:val="24"/>
        </w:rPr>
      </w:pPr>
      <w:r w:rsidRPr="00722960">
        <w:rPr>
          <w:rFonts w:hint="eastAsia"/>
          <w:color w:val="000000"/>
          <w:kern w:val="0"/>
          <w:sz w:val="24"/>
          <w:szCs w:val="24"/>
        </w:rPr>
        <w:t>乙型肝炎（</w:t>
      </w:r>
      <w:proofErr w:type="spellStart"/>
      <w:r w:rsidRPr="00722960">
        <w:rPr>
          <w:rFonts w:hint="eastAsia"/>
          <w:color w:val="000000"/>
          <w:kern w:val="0"/>
          <w:sz w:val="24"/>
          <w:szCs w:val="24"/>
        </w:rPr>
        <w:t>Heptatis</w:t>
      </w:r>
      <w:proofErr w:type="spellEnd"/>
      <w:r w:rsidRPr="00722960">
        <w:rPr>
          <w:rFonts w:hint="eastAsia"/>
          <w:color w:val="000000"/>
          <w:kern w:val="0"/>
          <w:sz w:val="24"/>
          <w:szCs w:val="24"/>
        </w:rPr>
        <w:t xml:space="preserve"> B</w:t>
      </w:r>
      <w:r w:rsidRPr="00722960">
        <w:rPr>
          <w:rFonts w:hint="eastAsia"/>
          <w:color w:val="000000"/>
          <w:kern w:val="0"/>
          <w:sz w:val="24"/>
          <w:szCs w:val="24"/>
        </w:rPr>
        <w:t>）是由乙型肝炎病毒（</w:t>
      </w:r>
      <w:r w:rsidRPr="00722960">
        <w:rPr>
          <w:rFonts w:hint="eastAsia"/>
          <w:color w:val="000000"/>
          <w:kern w:val="0"/>
          <w:sz w:val="24"/>
          <w:szCs w:val="24"/>
        </w:rPr>
        <w:t>Hepatitis B Virus</w:t>
      </w:r>
      <w:r w:rsidRPr="00722960">
        <w:rPr>
          <w:rFonts w:hint="eastAsia"/>
          <w:color w:val="000000"/>
          <w:kern w:val="0"/>
          <w:sz w:val="24"/>
          <w:szCs w:val="24"/>
        </w:rPr>
        <w:t>，</w:t>
      </w:r>
      <w:r w:rsidRPr="00722960">
        <w:rPr>
          <w:rFonts w:hint="eastAsia"/>
          <w:color w:val="000000"/>
          <w:kern w:val="0"/>
          <w:sz w:val="24"/>
          <w:szCs w:val="24"/>
        </w:rPr>
        <w:t>HBV</w:t>
      </w:r>
      <w:r w:rsidRPr="00722960">
        <w:rPr>
          <w:rFonts w:hint="eastAsia"/>
          <w:color w:val="000000"/>
          <w:kern w:val="0"/>
          <w:sz w:val="24"/>
          <w:szCs w:val="24"/>
        </w:rPr>
        <w:t>，简称乙肝病毒）引起的，以肝脏炎症性病变为主，并可引起多器官损害的一种传染性疾病。它广泛流行于世界各国，主要感染对象为儿童及青壮年，与肝硬化和肝癌等疾病的发生密切相关。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据世界卫生组织统计，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2022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年全球有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2.54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亿人有慢性乙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lastRenderedPageBreak/>
        <w:t>肝感染，约有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120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万新发感染者。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2022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年乙肝导致约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110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万人死亡，主要缘于肝硬化和肝细胞癌（原发性肝癌）。根据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 xml:space="preserve"> Polaris 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国际流行病学合作组织推算，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 xml:space="preserve">2016 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年我国一般人群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 xml:space="preserve"> HBsAg 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流行率为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 xml:space="preserve"> 6.1%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，慢性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 xml:space="preserve"> HBV 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感染者为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8600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万例。</w:t>
      </w:r>
      <w:r w:rsidRPr="00722960">
        <w:rPr>
          <w:rFonts w:hint="eastAsia"/>
          <w:color w:val="000000"/>
          <w:kern w:val="0"/>
          <w:sz w:val="24"/>
          <w:szCs w:val="24"/>
        </w:rPr>
        <w:t>乙型肝炎不仅严重影响人体健康，而且给家庭、社会带来了沉重的经济负担，已成为我国重大的公共卫生问题之一，同时也是全世界医学界共同关注的重要课题</w:t>
      </w:r>
      <w:r>
        <w:rPr>
          <w:rFonts w:hint="eastAsia"/>
          <w:color w:val="000000"/>
          <w:kern w:val="0"/>
          <w:sz w:val="24"/>
          <w:szCs w:val="24"/>
        </w:rPr>
        <w:t>。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世界卫生组织提出“消除病毒性肝炎作为公共卫生危害”的目标，届时慢性乙型肝炎新发感染率要减少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90%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、死亡率减少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65%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、诊断率达到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90%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和治疗率达到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80%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，而我国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 xml:space="preserve">CHB 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的诊断率和治疗率仅分别为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22%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和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15%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，未来乙肝市场仍有广阔的</w:t>
      </w:r>
      <w:r w:rsidR="0009099C">
        <w:rPr>
          <w:rFonts w:hint="eastAsia"/>
          <w:color w:val="000000"/>
          <w:kern w:val="0"/>
          <w:sz w:val="24"/>
          <w:szCs w:val="24"/>
        </w:rPr>
        <w:t>市场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空间。</w:t>
      </w:r>
    </w:p>
    <w:p w14:paraId="0A284540" w14:textId="172FF3CA" w:rsidR="00A71ADE" w:rsidRDefault="006C31F7" w:rsidP="00CA31EB">
      <w:pPr>
        <w:spacing w:line="360" w:lineRule="auto"/>
        <w:ind w:firstLineChars="200" w:firstLine="480"/>
        <w:rPr>
          <w:color w:val="000000"/>
          <w:kern w:val="0"/>
          <w:sz w:val="24"/>
          <w:szCs w:val="24"/>
        </w:rPr>
      </w:pPr>
      <w:bookmarkStart w:id="0" w:name="OLE_LINK2"/>
      <w:r w:rsidRPr="006C31F7">
        <w:rPr>
          <w:rFonts w:hint="eastAsia"/>
          <w:sz w:val="24"/>
          <w:szCs w:val="24"/>
        </w:rPr>
        <w:t>乙肝</w:t>
      </w:r>
      <w:r w:rsidRPr="006C31F7">
        <w:rPr>
          <w:rFonts w:hint="eastAsia"/>
          <w:sz w:val="24"/>
          <w:szCs w:val="24"/>
        </w:rPr>
        <w:t>HBsAg</w:t>
      </w:r>
      <w:r w:rsidRPr="006C31F7">
        <w:rPr>
          <w:rFonts w:hint="eastAsia"/>
          <w:sz w:val="24"/>
          <w:szCs w:val="24"/>
        </w:rPr>
        <w:t>对维持</w:t>
      </w:r>
      <w:r w:rsidRPr="006C31F7">
        <w:rPr>
          <w:rFonts w:hint="eastAsia"/>
          <w:sz w:val="24"/>
          <w:szCs w:val="24"/>
        </w:rPr>
        <w:t>HBV</w:t>
      </w:r>
      <w:r w:rsidRPr="006C31F7">
        <w:rPr>
          <w:rFonts w:hint="eastAsia"/>
          <w:sz w:val="24"/>
          <w:szCs w:val="24"/>
        </w:rPr>
        <w:t>持续感染起到重要作用，患者长期暴露在高水平的</w:t>
      </w:r>
      <w:r w:rsidRPr="006C31F7">
        <w:rPr>
          <w:rFonts w:hint="eastAsia"/>
          <w:sz w:val="24"/>
          <w:szCs w:val="24"/>
        </w:rPr>
        <w:t>HBsAg</w:t>
      </w:r>
      <w:r w:rsidRPr="006C31F7">
        <w:rPr>
          <w:rFonts w:hint="eastAsia"/>
          <w:sz w:val="24"/>
          <w:szCs w:val="24"/>
        </w:rPr>
        <w:t>下产生的特异性</w:t>
      </w:r>
      <w:r w:rsidRPr="006C31F7">
        <w:rPr>
          <w:rFonts w:hint="eastAsia"/>
          <w:sz w:val="24"/>
          <w:szCs w:val="24"/>
        </w:rPr>
        <w:t>T</w:t>
      </w:r>
      <w:r w:rsidRPr="006C31F7">
        <w:rPr>
          <w:rFonts w:hint="eastAsia"/>
          <w:sz w:val="24"/>
          <w:szCs w:val="24"/>
        </w:rPr>
        <w:t>细胞凋亡和免疫耗竭状态是</w:t>
      </w:r>
      <w:r w:rsidRPr="006C31F7">
        <w:rPr>
          <w:rFonts w:hint="eastAsia"/>
          <w:sz w:val="24"/>
          <w:szCs w:val="24"/>
        </w:rPr>
        <w:t>HBV</w:t>
      </w:r>
      <w:r w:rsidRPr="006C31F7">
        <w:rPr>
          <w:rFonts w:hint="eastAsia"/>
          <w:sz w:val="24"/>
          <w:szCs w:val="24"/>
        </w:rPr>
        <w:t>难以清除的重要原因，降低</w:t>
      </w:r>
      <w:r w:rsidRPr="006C31F7">
        <w:rPr>
          <w:rFonts w:hint="eastAsia"/>
          <w:sz w:val="24"/>
          <w:szCs w:val="24"/>
        </w:rPr>
        <w:t>HBsAg</w:t>
      </w:r>
      <w:r w:rsidRPr="006C31F7">
        <w:rPr>
          <w:rFonts w:hint="eastAsia"/>
          <w:sz w:val="24"/>
          <w:szCs w:val="24"/>
        </w:rPr>
        <w:t>对于乙肝临床治愈具有重要意义，因此</w:t>
      </w:r>
      <w:r w:rsidRPr="006C31F7">
        <w:rPr>
          <w:rFonts w:hint="eastAsia"/>
          <w:sz w:val="24"/>
          <w:szCs w:val="24"/>
        </w:rPr>
        <w:t>HBsAg</w:t>
      </w:r>
      <w:r w:rsidRPr="006C31F7">
        <w:rPr>
          <w:rFonts w:hint="eastAsia"/>
          <w:sz w:val="24"/>
          <w:szCs w:val="24"/>
        </w:rPr>
        <w:t>的持续清除被作为目前乙肝临床治愈的主要终点之一。</w:t>
      </w:r>
      <w:bookmarkEnd w:id="0"/>
      <w:r w:rsidR="00722960" w:rsidRPr="00722960">
        <w:rPr>
          <w:rFonts w:hint="eastAsia"/>
          <w:sz w:val="24"/>
          <w:szCs w:val="24"/>
        </w:rPr>
        <w:t>GST-HG131</w:t>
      </w:r>
      <w:r w:rsidR="0068604C">
        <w:rPr>
          <w:rFonts w:hint="eastAsia"/>
          <w:sz w:val="24"/>
          <w:szCs w:val="24"/>
        </w:rPr>
        <w:t>是</w:t>
      </w:r>
      <w:r w:rsidR="00722960" w:rsidRPr="00722960">
        <w:rPr>
          <w:rFonts w:hint="eastAsia"/>
          <w:sz w:val="24"/>
          <w:szCs w:val="24"/>
        </w:rPr>
        <w:t>一种</w:t>
      </w:r>
      <w:r w:rsidR="007F3B19">
        <w:rPr>
          <w:rFonts w:hint="eastAsia"/>
          <w:sz w:val="24"/>
          <w:szCs w:val="24"/>
        </w:rPr>
        <w:t>口服</w:t>
      </w:r>
      <w:r w:rsidR="00722960" w:rsidRPr="00722960">
        <w:rPr>
          <w:rFonts w:hint="eastAsia"/>
          <w:sz w:val="24"/>
          <w:szCs w:val="24"/>
        </w:rPr>
        <w:t>小分子</w:t>
      </w:r>
      <w:r w:rsidR="00722960" w:rsidRPr="00722960">
        <w:rPr>
          <w:rFonts w:hint="eastAsia"/>
          <w:sz w:val="24"/>
          <w:szCs w:val="24"/>
        </w:rPr>
        <w:t>HBsAg</w:t>
      </w:r>
      <w:r w:rsidR="00722960" w:rsidRPr="00722960">
        <w:rPr>
          <w:rFonts w:hint="eastAsia"/>
          <w:sz w:val="24"/>
          <w:szCs w:val="24"/>
        </w:rPr>
        <w:t>抑制剂，能够</w:t>
      </w:r>
      <w:r w:rsidR="00CA0AA2">
        <w:rPr>
          <w:rFonts w:hint="eastAsia"/>
          <w:sz w:val="24"/>
          <w:szCs w:val="24"/>
        </w:rPr>
        <w:t>显著</w:t>
      </w:r>
      <w:r w:rsidR="00722960" w:rsidRPr="00722960">
        <w:rPr>
          <w:rFonts w:hint="eastAsia"/>
          <w:sz w:val="24"/>
          <w:szCs w:val="24"/>
        </w:rPr>
        <w:t>抑制乙肝</w:t>
      </w:r>
      <w:r w:rsidR="00722960" w:rsidRPr="00722960">
        <w:rPr>
          <w:rFonts w:hint="eastAsia"/>
          <w:sz w:val="24"/>
          <w:szCs w:val="24"/>
        </w:rPr>
        <w:t>HBsAg</w:t>
      </w:r>
      <w:r w:rsidR="00722960" w:rsidRPr="00722960">
        <w:rPr>
          <w:rFonts w:hint="eastAsia"/>
          <w:sz w:val="24"/>
          <w:szCs w:val="24"/>
        </w:rPr>
        <w:t>的</w:t>
      </w:r>
      <w:r w:rsidR="003A052D">
        <w:rPr>
          <w:rFonts w:hint="eastAsia"/>
          <w:sz w:val="24"/>
          <w:szCs w:val="24"/>
        </w:rPr>
        <w:t>表达</w:t>
      </w:r>
      <w:r w:rsidR="00722960" w:rsidRPr="00722960">
        <w:rPr>
          <w:rFonts w:hint="eastAsia"/>
          <w:sz w:val="24"/>
          <w:szCs w:val="24"/>
        </w:rPr>
        <w:t>，从而发挥抗病毒作用</w:t>
      </w:r>
      <w:r w:rsidR="0068604C">
        <w:rPr>
          <w:rFonts w:hint="eastAsia"/>
          <w:sz w:val="24"/>
          <w:szCs w:val="24"/>
        </w:rPr>
        <w:t>，</w:t>
      </w:r>
      <w:r w:rsidR="00722960" w:rsidRPr="00722960">
        <w:rPr>
          <w:rFonts w:hint="eastAsia"/>
          <w:sz w:val="24"/>
          <w:szCs w:val="24"/>
        </w:rPr>
        <w:t>其</w:t>
      </w:r>
      <w:r w:rsidR="007F3B19">
        <w:rPr>
          <w:rFonts w:hint="eastAsia"/>
          <w:sz w:val="24"/>
          <w:szCs w:val="24"/>
        </w:rPr>
        <w:t>作用</w:t>
      </w:r>
      <w:r w:rsidR="00722960" w:rsidRPr="00722960">
        <w:rPr>
          <w:rFonts w:hint="eastAsia"/>
          <w:sz w:val="24"/>
          <w:szCs w:val="24"/>
        </w:rPr>
        <w:t>机制是</w:t>
      </w:r>
      <w:r w:rsidR="00DE7EB5">
        <w:rPr>
          <w:rFonts w:hint="eastAsia"/>
          <w:sz w:val="24"/>
          <w:szCs w:val="24"/>
        </w:rPr>
        <w:t>通过</w:t>
      </w:r>
      <w:r w:rsidR="00722960" w:rsidRPr="00722960">
        <w:rPr>
          <w:rFonts w:hint="eastAsia"/>
          <w:sz w:val="24"/>
          <w:szCs w:val="24"/>
        </w:rPr>
        <w:t>抑制</w:t>
      </w:r>
      <w:r w:rsidR="00722960" w:rsidRPr="00722960">
        <w:rPr>
          <w:rFonts w:hint="eastAsia"/>
          <w:sz w:val="24"/>
          <w:szCs w:val="24"/>
        </w:rPr>
        <w:t>HBV RNA</w:t>
      </w:r>
      <w:r w:rsidR="00722960" w:rsidRPr="00722960">
        <w:rPr>
          <w:rFonts w:hint="eastAsia"/>
          <w:sz w:val="24"/>
          <w:szCs w:val="24"/>
        </w:rPr>
        <w:t>的</w:t>
      </w:r>
      <w:r w:rsidR="00722960" w:rsidRPr="00722960">
        <w:rPr>
          <w:rFonts w:hint="eastAsia"/>
          <w:sz w:val="24"/>
          <w:szCs w:val="24"/>
        </w:rPr>
        <w:t>poly(A)</w:t>
      </w:r>
      <w:r w:rsidR="00722960" w:rsidRPr="00722960">
        <w:rPr>
          <w:rFonts w:hint="eastAsia"/>
          <w:sz w:val="24"/>
          <w:szCs w:val="24"/>
        </w:rPr>
        <w:t>尾部</w:t>
      </w:r>
      <w:r w:rsidR="007F3B19">
        <w:rPr>
          <w:rFonts w:hint="eastAsia"/>
          <w:sz w:val="24"/>
          <w:szCs w:val="24"/>
        </w:rPr>
        <w:t>聚合</w:t>
      </w:r>
      <w:r w:rsidR="00722960" w:rsidRPr="00722960">
        <w:rPr>
          <w:rFonts w:hint="eastAsia"/>
          <w:sz w:val="24"/>
          <w:szCs w:val="24"/>
        </w:rPr>
        <w:t>，</w:t>
      </w:r>
      <w:r w:rsidR="007F3B19">
        <w:rPr>
          <w:rFonts w:hint="eastAsia"/>
          <w:sz w:val="24"/>
          <w:szCs w:val="24"/>
        </w:rPr>
        <w:t>降低</w:t>
      </w:r>
      <w:r w:rsidR="007F3B19" w:rsidRPr="00722960">
        <w:rPr>
          <w:rFonts w:hint="eastAsia"/>
          <w:sz w:val="24"/>
          <w:szCs w:val="24"/>
        </w:rPr>
        <w:t>HBV RNA</w:t>
      </w:r>
      <w:r w:rsidR="007F3B19">
        <w:rPr>
          <w:rFonts w:hint="eastAsia"/>
          <w:sz w:val="24"/>
          <w:szCs w:val="24"/>
        </w:rPr>
        <w:t>的稳定性</w:t>
      </w:r>
      <w:r w:rsidR="00722960" w:rsidRPr="00722960">
        <w:rPr>
          <w:rFonts w:hint="eastAsia"/>
          <w:sz w:val="24"/>
          <w:szCs w:val="24"/>
        </w:rPr>
        <w:t>而加速其降解。临床前研究表明</w:t>
      </w:r>
      <w:r w:rsidR="00722960" w:rsidRPr="00722960">
        <w:rPr>
          <w:rFonts w:hint="eastAsia"/>
          <w:sz w:val="24"/>
          <w:szCs w:val="24"/>
        </w:rPr>
        <w:t>GST-HG131</w:t>
      </w:r>
      <w:r w:rsidR="00722960" w:rsidRPr="00722960">
        <w:rPr>
          <w:rFonts w:hint="eastAsia"/>
          <w:sz w:val="24"/>
          <w:szCs w:val="24"/>
        </w:rPr>
        <w:t>片具有</w:t>
      </w:r>
      <w:r w:rsidR="00220760">
        <w:rPr>
          <w:rFonts w:hint="eastAsia"/>
          <w:sz w:val="24"/>
          <w:szCs w:val="24"/>
        </w:rPr>
        <w:t>良好</w:t>
      </w:r>
      <w:r w:rsidR="00722960" w:rsidRPr="00722960">
        <w:rPr>
          <w:rFonts w:hint="eastAsia"/>
          <w:sz w:val="24"/>
          <w:szCs w:val="24"/>
        </w:rPr>
        <w:t>的药理学特性，对靶点具有高亲和力和特异性，且</w:t>
      </w:r>
      <w:r w:rsidR="007F3B19">
        <w:rPr>
          <w:rFonts w:hint="eastAsia"/>
          <w:sz w:val="24"/>
          <w:szCs w:val="24"/>
        </w:rPr>
        <w:t>在动物模型中显著降低血清中</w:t>
      </w:r>
      <w:r w:rsidR="007F3B19" w:rsidRPr="00722960">
        <w:rPr>
          <w:rFonts w:hint="eastAsia"/>
          <w:sz w:val="24"/>
          <w:szCs w:val="24"/>
        </w:rPr>
        <w:t>HBsAg</w:t>
      </w:r>
      <w:r w:rsidR="007F3B19">
        <w:rPr>
          <w:rFonts w:hint="eastAsia"/>
          <w:sz w:val="24"/>
          <w:szCs w:val="24"/>
        </w:rPr>
        <w:t>水平。</w:t>
      </w:r>
      <w:r w:rsidR="00722960">
        <w:rPr>
          <w:rFonts w:hint="eastAsia"/>
          <w:color w:val="000000"/>
          <w:kern w:val="0"/>
          <w:sz w:val="24"/>
          <w:szCs w:val="24"/>
        </w:rPr>
        <w:t>迄今为止，全球范围内尚无同类产品上市。</w:t>
      </w:r>
    </w:p>
    <w:p w14:paraId="45F5646B" w14:textId="77777777" w:rsidR="00A71ADE" w:rsidRDefault="00312A57">
      <w:pPr>
        <w:spacing w:beforeLines="50" w:before="156" w:line="360" w:lineRule="auto"/>
        <w:ind w:firstLineChars="200" w:firstLine="482"/>
        <w:rPr>
          <w:b/>
          <w:color w:val="000000"/>
          <w:kern w:val="0"/>
          <w:sz w:val="24"/>
          <w:szCs w:val="24"/>
        </w:rPr>
      </w:pPr>
      <w:r>
        <w:rPr>
          <w:rFonts w:hint="eastAsia"/>
          <w:b/>
          <w:color w:val="000000"/>
          <w:kern w:val="0"/>
          <w:sz w:val="24"/>
          <w:szCs w:val="24"/>
        </w:rPr>
        <w:t>三、试验结论</w:t>
      </w:r>
    </w:p>
    <w:p w14:paraId="721A313D" w14:textId="53A6F665" w:rsidR="00A71ADE" w:rsidRDefault="00312A57">
      <w:pPr>
        <w:spacing w:line="360" w:lineRule="auto"/>
        <w:ind w:firstLineChars="200" w:firstLine="482"/>
        <w:rPr>
          <w:b/>
          <w:color w:val="000000"/>
          <w:kern w:val="0"/>
          <w:sz w:val="24"/>
          <w:szCs w:val="24"/>
        </w:rPr>
      </w:pPr>
      <w:r>
        <w:rPr>
          <w:rFonts w:hint="eastAsia"/>
          <w:b/>
          <w:color w:val="000000"/>
          <w:kern w:val="0"/>
          <w:sz w:val="24"/>
          <w:szCs w:val="24"/>
        </w:rPr>
        <w:t>1</w:t>
      </w:r>
      <w:r>
        <w:rPr>
          <w:rFonts w:hint="eastAsia"/>
          <w:b/>
          <w:color w:val="000000"/>
          <w:kern w:val="0"/>
          <w:sz w:val="24"/>
          <w:szCs w:val="24"/>
        </w:rPr>
        <w:t>、</w:t>
      </w:r>
      <w:r w:rsidR="00921A9B">
        <w:rPr>
          <w:rFonts w:hint="eastAsia"/>
          <w:b/>
          <w:color w:val="000000"/>
          <w:kern w:val="0"/>
          <w:sz w:val="24"/>
          <w:szCs w:val="24"/>
        </w:rPr>
        <w:t>临床</w:t>
      </w:r>
      <w:r>
        <w:rPr>
          <w:rFonts w:hint="eastAsia"/>
          <w:b/>
          <w:color w:val="000000"/>
          <w:kern w:val="0"/>
          <w:sz w:val="24"/>
          <w:szCs w:val="24"/>
        </w:rPr>
        <w:t>药效学结论</w:t>
      </w:r>
    </w:p>
    <w:p w14:paraId="6A0DD429" w14:textId="77777777" w:rsidR="00F41EE1" w:rsidRDefault="008F0BFC">
      <w:pPr>
        <w:spacing w:line="360" w:lineRule="auto"/>
        <w:ind w:firstLineChars="200" w:firstLine="480"/>
        <w:rPr>
          <w:color w:val="000000"/>
          <w:kern w:val="0"/>
          <w:sz w:val="24"/>
          <w:szCs w:val="24"/>
        </w:rPr>
      </w:pPr>
      <w:r w:rsidRPr="008F0BFC">
        <w:rPr>
          <w:rFonts w:hint="eastAsia"/>
          <w:color w:val="000000"/>
          <w:kern w:val="0"/>
          <w:sz w:val="24"/>
          <w:szCs w:val="24"/>
        </w:rPr>
        <w:t>共</w:t>
      </w:r>
      <w:r w:rsidRPr="008F0BFC">
        <w:rPr>
          <w:rFonts w:hint="eastAsia"/>
          <w:color w:val="000000"/>
          <w:kern w:val="0"/>
          <w:sz w:val="24"/>
          <w:szCs w:val="24"/>
        </w:rPr>
        <w:t>45</w:t>
      </w:r>
      <w:r w:rsidRPr="008F0BFC">
        <w:rPr>
          <w:rFonts w:hint="eastAsia"/>
          <w:color w:val="000000"/>
          <w:kern w:val="0"/>
          <w:sz w:val="24"/>
          <w:szCs w:val="24"/>
        </w:rPr>
        <w:t>例受试者筛选合格</w:t>
      </w:r>
      <w:r>
        <w:rPr>
          <w:rFonts w:hint="eastAsia"/>
          <w:color w:val="000000"/>
          <w:kern w:val="0"/>
          <w:sz w:val="24"/>
          <w:szCs w:val="24"/>
        </w:rPr>
        <w:t>，</w:t>
      </w:r>
      <w:r w:rsidR="002B65FF">
        <w:rPr>
          <w:rFonts w:hint="eastAsia"/>
          <w:color w:val="000000"/>
          <w:kern w:val="0"/>
          <w:sz w:val="24"/>
          <w:szCs w:val="24"/>
        </w:rPr>
        <w:t>分别</w:t>
      </w:r>
      <w:r w:rsidRPr="008F0BFC">
        <w:rPr>
          <w:rFonts w:hint="eastAsia"/>
          <w:color w:val="000000"/>
          <w:kern w:val="0"/>
          <w:sz w:val="24"/>
          <w:szCs w:val="24"/>
        </w:rPr>
        <w:t>入组</w:t>
      </w:r>
      <w:r>
        <w:rPr>
          <w:rFonts w:hint="eastAsia"/>
          <w:color w:val="000000"/>
          <w:kern w:val="0"/>
          <w:sz w:val="24"/>
          <w:szCs w:val="24"/>
        </w:rPr>
        <w:t xml:space="preserve">GST-HG131 </w:t>
      </w:r>
      <w:r w:rsidRPr="008F0BFC">
        <w:rPr>
          <w:rFonts w:hint="eastAsia"/>
          <w:color w:val="000000"/>
          <w:kern w:val="0"/>
          <w:sz w:val="24"/>
          <w:szCs w:val="24"/>
        </w:rPr>
        <w:t>30 mg BID</w:t>
      </w:r>
      <w:r w:rsidR="003A47A9">
        <w:rPr>
          <w:rFonts w:hint="eastAsia"/>
          <w:color w:val="000000"/>
          <w:kern w:val="0"/>
          <w:sz w:val="24"/>
          <w:szCs w:val="24"/>
        </w:rPr>
        <w:t>（</w:t>
      </w:r>
      <w:r w:rsidRPr="008F0BFC">
        <w:rPr>
          <w:rFonts w:hint="eastAsia"/>
          <w:color w:val="000000"/>
          <w:kern w:val="0"/>
          <w:sz w:val="24"/>
          <w:szCs w:val="24"/>
        </w:rPr>
        <w:t>28</w:t>
      </w:r>
      <w:r w:rsidRPr="008F0BFC">
        <w:rPr>
          <w:rFonts w:hint="eastAsia"/>
          <w:color w:val="000000"/>
          <w:kern w:val="0"/>
          <w:sz w:val="24"/>
          <w:szCs w:val="24"/>
        </w:rPr>
        <w:t>天</w:t>
      </w:r>
      <w:r w:rsidR="003A47A9">
        <w:rPr>
          <w:rFonts w:hint="eastAsia"/>
          <w:color w:val="000000"/>
          <w:kern w:val="0"/>
          <w:sz w:val="24"/>
          <w:szCs w:val="24"/>
        </w:rPr>
        <w:t>）</w:t>
      </w:r>
      <w:r w:rsidRPr="008F0BFC">
        <w:rPr>
          <w:rFonts w:hint="eastAsia"/>
          <w:color w:val="000000"/>
          <w:kern w:val="0"/>
          <w:sz w:val="24"/>
          <w:szCs w:val="24"/>
        </w:rPr>
        <w:t>、</w:t>
      </w:r>
      <w:r w:rsidRPr="008F0BFC">
        <w:rPr>
          <w:rFonts w:hint="eastAsia"/>
          <w:color w:val="000000"/>
          <w:kern w:val="0"/>
          <w:sz w:val="24"/>
          <w:szCs w:val="24"/>
        </w:rPr>
        <w:t>60 mg BID</w:t>
      </w:r>
      <w:r w:rsidR="003A47A9">
        <w:rPr>
          <w:rFonts w:hint="eastAsia"/>
          <w:color w:val="000000"/>
          <w:kern w:val="0"/>
          <w:sz w:val="24"/>
          <w:szCs w:val="24"/>
        </w:rPr>
        <w:t>（</w:t>
      </w:r>
      <w:r w:rsidRPr="008F0BFC">
        <w:rPr>
          <w:rFonts w:hint="eastAsia"/>
          <w:color w:val="000000"/>
          <w:kern w:val="0"/>
          <w:sz w:val="24"/>
          <w:szCs w:val="24"/>
        </w:rPr>
        <w:t>28</w:t>
      </w:r>
      <w:r w:rsidRPr="008F0BFC">
        <w:rPr>
          <w:rFonts w:hint="eastAsia"/>
          <w:color w:val="000000"/>
          <w:kern w:val="0"/>
          <w:sz w:val="24"/>
          <w:szCs w:val="24"/>
        </w:rPr>
        <w:t>天</w:t>
      </w:r>
      <w:r w:rsidR="003A47A9">
        <w:rPr>
          <w:rFonts w:hint="eastAsia"/>
          <w:color w:val="000000"/>
          <w:kern w:val="0"/>
          <w:sz w:val="24"/>
          <w:szCs w:val="24"/>
        </w:rPr>
        <w:t>）和</w:t>
      </w:r>
      <w:r w:rsidRPr="008F0BFC">
        <w:rPr>
          <w:rFonts w:hint="eastAsia"/>
          <w:color w:val="000000"/>
          <w:kern w:val="0"/>
          <w:sz w:val="24"/>
          <w:szCs w:val="24"/>
        </w:rPr>
        <w:t>30 mg BID</w:t>
      </w:r>
      <w:r w:rsidR="003A47A9">
        <w:rPr>
          <w:rFonts w:hint="eastAsia"/>
          <w:color w:val="000000"/>
          <w:kern w:val="0"/>
          <w:sz w:val="24"/>
          <w:szCs w:val="24"/>
        </w:rPr>
        <w:t>（</w:t>
      </w:r>
      <w:r w:rsidRPr="008F0BFC">
        <w:rPr>
          <w:rFonts w:hint="eastAsia"/>
          <w:color w:val="000000"/>
          <w:kern w:val="0"/>
          <w:sz w:val="24"/>
          <w:szCs w:val="24"/>
        </w:rPr>
        <w:t xml:space="preserve"> 12</w:t>
      </w:r>
      <w:r w:rsidRPr="008F0BFC">
        <w:rPr>
          <w:rFonts w:hint="eastAsia"/>
          <w:color w:val="000000"/>
          <w:kern w:val="0"/>
          <w:sz w:val="24"/>
          <w:szCs w:val="24"/>
        </w:rPr>
        <w:t>周</w:t>
      </w:r>
      <w:r w:rsidR="003A47A9">
        <w:rPr>
          <w:rFonts w:hint="eastAsia"/>
          <w:color w:val="000000"/>
          <w:kern w:val="0"/>
          <w:sz w:val="24"/>
          <w:szCs w:val="24"/>
        </w:rPr>
        <w:t>）</w:t>
      </w:r>
      <w:r w:rsidR="002B65FF">
        <w:rPr>
          <w:rFonts w:hint="eastAsia"/>
          <w:color w:val="000000"/>
          <w:kern w:val="0"/>
          <w:sz w:val="24"/>
          <w:szCs w:val="24"/>
        </w:rPr>
        <w:t>剂量组</w:t>
      </w:r>
      <w:r>
        <w:rPr>
          <w:rFonts w:hint="eastAsia"/>
          <w:color w:val="000000"/>
          <w:kern w:val="0"/>
          <w:sz w:val="24"/>
          <w:szCs w:val="24"/>
        </w:rPr>
        <w:t>接受治疗</w:t>
      </w:r>
      <w:r w:rsidR="00B15397">
        <w:rPr>
          <w:rFonts w:hint="eastAsia"/>
          <w:color w:val="000000"/>
          <w:kern w:val="0"/>
          <w:sz w:val="24"/>
          <w:szCs w:val="24"/>
        </w:rPr>
        <w:t>，组间基线均衡。</w:t>
      </w:r>
      <w:r w:rsidR="002B65FF">
        <w:rPr>
          <w:rFonts w:hint="eastAsia"/>
          <w:color w:val="000000"/>
          <w:kern w:val="0"/>
          <w:sz w:val="24"/>
          <w:szCs w:val="24"/>
        </w:rPr>
        <w:t>三</w:t>
      </w:r>
      <w:r w:rsidR="002B65FF" w:rsidRPr="002B65FF">
        <w:rPr>
          <w:rFonts w:hint="eastAsia"/>
          <w:color w:val="000000"/>
          <w:kern w:val="0"/>
          <w:sz w:val="24"/>
          <w:szCs w:val="24"/>
        </w:rPr>
        <w:t>组多次给药后</w:t>
      </w:r>
      <w:r w:rsidR="002B65FF" w:rsidRPr="002B65FF">
        <w:rPr>
          <w:rFonts w:hint="eastAsia"/>
          <w:color w:val="000000"/>
          <w:kern w:val="0"/>
          <w:sz w:val="24"/>
          <w:szCs w:val="24"/>
        </w:rPr>
        <w:t>HBsAg</w:t>
      </w:r>
      <w:r w:rsidR="002B65FF" w:rsidRPr="002B65FF">
        <w:rPr>
          <w:rFonts w:hint="eastAsia"/>
          <w:color w:val="000000"/>
          <w:kern w:val="0"/>
          <w:sz w:val="24"/>
          <w:szCs w:val="24"/>
        </w:rPr>
        <w:t>水平持续降低，停药时达最低水平</w:t>
      </w:r>
      <w:r w:rsidR="00362208">
        <w:rPr>
          <w:rFonts w:hint="eastAsia"/>
          <w:color w:val="000000"/>
          <w:kern w:val="0"/>
          <w:sz w:val="24"/>
          <w:szCs w:val="24"/>
        </w:rPr>
        <w:t>。第一</w:t>
      </w:r>
      <w:r w:rsidR="002C60AC">
        <w:rPr>
          <w:rFonts w:hint="eastAsia"/>
          <w:color w:val="000000"/>
          <w:kern w:val="0"/>
          <w:sz w:val="24"/>
          <w:szCs w:val="24"/>
        </w:rPr>
        <w:t>组</w:t>
      </w:r>
      <w:r w:rsidR="00362208">
        <w:rPr>
          <w:rFonts w:hint="eastAsia"/>
          <w:color w:val="000000"/>
          <w:kern w:val="0"/>
          <w:sz w:val="24"/>
          <w:szCs w:val="24"/>
        </w:rPr>
        <w:t>（</w:t>
      </w:r>
      <w:r w:rsidR="00362208">
        <w:rPr>
          <w:rFonts w:hint="eastAsia"/>
          <w:color w:val="000000"/>
          <w:kern w:val="0"/>
          <w:sz w:val="24"/>
          <w:szCs w:val="24"/>
        </w:rPr>
        <w:t>30 mg BID, 28</w:t>
      </w:r>
      <w:r w:rsidR="00362208">
        <w:rPr>
          <w:rFonts w:hint="eastAsia"/>
          <w:color w:val="000000"/>
          <w:kern w:val="0"/>
          <w:sz w:val="24"/>
          <w:szCs w:val="24"/>
        </w:rPr>
        <w:t>天）和第二</w:t>
      </w:r>
      <w:r w:rsidR="002C60AC">
        <w:rPr>
          <w:rFonts w:hint="eastAsia"/>
          <w:color w:val="000000"/>
          <w:kern w:val="0"/>
          <w:sz w:val="24"/>
          <w:szCs w:val="24"/>
        </w:rPr>
        <w:t>组</w:t>
      </w:r>
      <w:r w:rsidR="00362208">
        <w:rPr>
          <w:rFonts w:hint="eastAsia"/>
          <w:color w:val="000000"/>
          <w:kern w:val="0"/>
          <w:sz w:val="24"/>
          <w:szCs w:val="24"/>
        </w:rPr>
        <w:t>（</w:t>
      </w:r>
      <w:r w:rsidR="00362208">
        <w:rPr>
          <w:rFonts w:hint="eastAsia"/>
          <w:color w:val="000000"/>
          <w:kern w:val="0"/>
          <w:sz w:val="24"/>
          <w:szCs w:val="24"/>
        </w:rPr>
        <w:t>60mg BID, 28</w:t>
      </w:r>
      <w:r w:rsidR="00362208">
        <w:rPr>
          <w:rFonts w:hint="eastAsia"/>
          <w:color w:val="000000"/>
          <w:kern w:val="0"/>
          <w:sz w:val="24"/>
          <w:szCs w:val="24"/>
        </w:rPr>
        <w:t>天）在研究结束时（</w:t>
      </w:r>
      <w:r w:rsidR="002B65FF">
        <w:rPr>
          <w:rFonts w:hint="eastAsia"/>
          <w:color w:val="000000"/>
          <w:kern w:val="0"/>
          <w:sz w:val="24"/>
          <w:szCs w:val="24"/>
        </w:rPr>
        <w:t>第</w:t>
      </w:r>
      <w:r w:rsidR="002B65FF">
        <w:rPr>
          <w:rFonts w:hint="eastAsia"/>
          <w:color w:val="000000"/>
          <w:kern w:val="0"/>
          <w:sz w:val="24"/>
          <w:szCs w:val="24"/>
        </w:rPr>
        <w:t>28</w:t>
      </w:r>
      <w:r w:rsidR="002B65FF">
        <w:rPr>
          <w:rFonts w:hint="eastAsia"/>
          <w:color w:val="000000"/>
          <w:kern w:val="0"/>
          <w:sz w:val="24"/>
          <w:szCs w:val="24"/>
        </w:rPr>
        <w:t>天</w:t>
      </w:r>
      <w:r w:rsidR="00362208">
        <w:rPr>
          <w:rFonts w:hint="eastAsia"/>
          <w:color w:val="000000"/>
          <w:kern w:val="0"/>
          <w:sz w:val="24"/>
          <w:szCs w:val="24"/>
        </w:rPr>
        <w:t>）</w:t>
      </w:r>
      <w:r w:rsidR="002B65FF">
        <w:rPr>
          <w:rFonts w:hint="eastAsia"/>
          <w:color w:val="000000"/>
          <w:kern w:val="0"/>
          <w:sz w:val="24"/>
          <w:szCs w:val="24"/>
        </w:rPr>
        <w:t>HBsAg</w:t>
      </w:r>
      <w:r w:rsidR="002B65FF" w:rsidRPr="002B65FF">
        <w:rPr>
          <w:rFonts w:hint="eastAsia"/>
          <w:color w:val="000000"/>
          <w:kern w:val="0"/>
          <w:sz w:val="24"/>
          <w:szCs w:val="24"/>
        </w:rPr>
        <w:t>相对基线下降均值分别为</w:t>
      </w:r>
      <w:r w:rsidR="002B65FF" w:rsidRPr="002B65FF">
        <w:rPr>
          <w:rFonts w:hint="eastAsia"/>
          <w:color w:val="000000"/>
          <w:kern w:val="0"/>
          <w:sz w:val="24"/>
          <w:szCs w:val="24"/>
        </w:rPr>
        <w:t>0.65 Log</w:t>
      </w:r>
      <w:r w:rsidR="002B65FF" w:rsidRPr="001269AC">
        <w:rPr>
          <w:color w:val="000000"/>
          <w:kern w:val="0"/>
          <w:sz w:val="24"/>
          <w:szCs w:val="24"/>
          <w:vertAlign w:val="subscript"/>
        </w:rPr>
        <w:t>10</w:t>
      </w:r>
      <w:r w:rsidR="002B65FF" w:rsidRPr="002B65FF">
        <w:rPr>
          <w:rFonts w:hint="eastAsia"/>
          <w:color w:val="000000"/>
          <w:kern w:val="0"/>
          <w:sz w:val="24"/>
          <w:szCs w:val="24"/>
        </w:rPr>
        <w:t xml:space="preserve"> IU/mL</w:t>
      </w:r>
      <w:r w:rsidR="00362208">
        <w:rPr>
          <w:rFonts w:hint="eastAsia"/>
          <w:color w:val="000000"/>
          <w:kern w:val="0"/>
          <w:sz w:val="24"/>
          <w:szCs w:val="24"/>
        </w:rPr>
        <w:t>和</w:t>
      </w:r>
      <w:r w:rsidR="002B65FF" w:rsidRPr="002B65FF">
        <w:rPr>
          <w:rFonts w:hint="eastAsia"/>
          <w:color w:val="000000"/>
          <w:kern w:val="0"/>
          <w:sz w:val="24"/>
          <w:szCs w:val="24"/>
        </w:rPr>
        <w:t>0.53 Log</w:t>
      </w:r>
      <w:r w:rsidR="002B65FF" w:rsidRPr="001269AC">
        <w:rPr>
          <w:color w:val="000000"/>
          <w:kern w:val="0"/>
          <w:sz w:val="24"/>
          <w:szCs w:val="24"/>
          <w:vertAlign w:val="subscript"/>
        </w:rPr>
        <w:t>10</w:t>
      </w:r>
      <w:r w:rsidR="002B65FF" w:rsidRPr="002B65FF">
        <w:rPr>
          <w:rFonts w:hint="eastAsia"/>
          <w:color w:val="000000"/>
          <w:kern w:val="0"/>
          <w:sz w:val="24"/>
          <w:szCs w:val="24"/>
        </w:rPr>
        <w:t xml:space="preserve"> IU/mL</w:t>
      </w:r>
      <w:r w:rsidR="002B65FF" w:rsidRPr="002B65FF">
        <w:rPr>
          <w:rFonts w:hint="eastAsia"/>
          <w:color w:val="000000"/>
          <w:kern w:val="0"/>
          <w:sz w:val="24"/>
          <w:szCs w:val="24"/>
        </w:rPr>
        <w:t>。</w:t>
      </w:r>
      <w:r w:rsidR="00362208">
        <w:rPr>
          <w:rFonts w:hint="eastAsia"/>
          <w:color w:val="000000"/>
          <w:kern w:val="0"/>
          <w:sz w:val="24"/>
          <w:szCs w:val="24"/>
        </w:rPr>
        <w:t>第三组（</w:t>
      </w:r>
      <w:r w:rsidR="000B0102" w:rsidRPr="000B0102">
        <w:rPr>
          <w:rFonts w:hint="eastAsia"/>
          <w:color w:val="000000"/>
          <w:kern w:val="0"/>
          <w:sz w:val="24"/>
          <w:szCs w:val="24"/>
        </w:rPr>
        <w:t>30 mg BID</w:t>
      </w:r>
      <w:r w:rsidR="000B0102" w:rsidRPr="000B0102">
        <w:rPr>
          <w:rFonts w:hint="eastAsia"/>
          <w:color w:val="000000"/>
          <w:kern w:val="0"/>
          <w:sz w:val="24"/>
          <w:szCs w:val="24"/>
        </w:rPr>
        <w:t>，</w:t>
      </w:r>
      <w:r w:rsidR="000B0102" w:rsidRPr="000B0102">
        <w:rPr>
          <w:rFonts w:hint="eastAsia"/>
          <w:color w:val="000000"/>
          <w:kern w:val="0"/>
          <w:sz w:val="24"/>
          <w:szCs w:val="24"/>
        </w:rPr>
        <w:t>12</w:t>
      </w:r>
      <w:r w:rsidR="000B0102" w:rsidRPr="000B0102">
        <w:rPr>
          <w:rFonts w:hint="eastAsia"/>
          <w:color w:val="000000"/>
          <w:kern w:val="0"/>
          <w:sz w:val="24"/>
          <w:szCs w:val="24"/>
        </w:rPr>
        <w:t>周</w:t>
      </w:r>
      <w:r w:rsidR="00362208">
        <w:rPr>
          <w:rFonts w:hint="eastAsia"/>
          <w:color w:val="000000"/>
          <w:kern w:val="0"/>
          <w:sz w:val="24"/>
          <w:szCs w:val="24"/>
        </w:rPr>
        <w:t>）</w:t>
      </w:r>
      <w:r w:rsidR="002C60AC">
        <w:rPr>
          <w:rFonts w:hint="eastAsia"/>
          <w:color w:val="000000"/>
          <w:kern w:val="0"/>
          <w:sz w:val="24"/>
          <w:szCs w:val="24"/>
        </w:rPr>
        <w:t>在研究结束时（</w:t>
      </w:r>
      <w:r w:rsidR="000B0102">
        <w:rPr>
          <w:rFonts w:hint="eastAsia"/>
          <w:color w:val="000000"/>
          <w:kern w:val="0"/>
          <w:sz w:val="24"/>
          <w:szCs w:val="24"/>
        </w:rPr>
        <w:t>第</w:t>
      </w:r>
      <w:r w:rsidR="00E44F02">
        <w:rPr>
          <w:rFonts w:hint="eastAsia"/>
          <w:color w:val="000000"/>
          <w:kern w:val="0"/>
          <w:sz w:val="24"/>
          <w:szCs w:val="24"/>
        </w:rPr>
        <w:t>12</w:t>
      </w:r>
      <w:r w:rsidR="00E44F02">
        <w:rPr>
          <w:rFonts w:hint="eastAsia"/>
          <w:color w:val="000000"/>
          <w:kern w:val="0"/>
          <w:sz w:val="24"/>
          <w:szCs w:val="24"/>
        </w:rPr>
        <w:t>周</w:t>
      </w:r>
      <w:r w:rsidR="002C60AC">
        <w:rPr>
          <w:rFonts w:hint="eastAsia"/>
          <w:color w:val="000000"/>
          <w:kern w:val="0"/>
          <w:sz w:val="24"/>
          <w:szCs w:val="24"/>
        </w:rPr>
        <w:t>）</w:t>
      </w:r>
      <w:r w:rsidR="000B0102">
        <w:rPr>
          <w:rFonts w:hint="eastAsia"/>
          <w:color w:val="000000"/>
          <w:kern w:val="0"/>
          <w:sz w:val="24"/>
          <w:szCs w:val="24"/>
        </w:rPr>
        <w:t>HBsAg</w:t>
      </w:r>
      <w:r w:rsidR="000B0102" w:rsidRPr="000B0102">
        <w:rPr>
          <w:rFonts w:hint="eastAsia"/>
          <w:color w:val="000000"/>
          <w:kern w:val="0"/>
          <w:sz w:val="24"/>
          <w:szCs w:val="24"/>
        </w:rPr>
        <w:t>相对基线下降均值为</w:t>
      </w:r>
      <w:r w:rsidR="000B0102" w:rsidRPr="000B0102">
        <w:rPr>
          <w:rFonts w:hint="eastAsia"/>
          <w:color w:val="000000"/>
          <w:kern w:val="0"/>
          <w:sz w:val="24"/>
          <w:szCs w:val="24"/>
        </w:rPr>
        <w:t>0.89 Log</w:t>
      </w:r>
      <w:r w:rsidR="000B0102" w:rsidRPr="001269AC">
        <w:rPr>
          <w:color w:val="000000"/>
          <w:kern w:val="0"/>
          <w:sz w:val="24"/>
          <w:szCs w:val="24"/>
          <w:vertAlign w:val="subscript"/>
        </w:rPr>
        <w:t>10</w:t>
      </w:r>
      <w:r w:rsidR="000B0102" w:rsidRPr="000B0102">
        <w:rPr>
          <w:rFonts w:hint="eastAsia"/>
          <w:color w:val="000000"/>
          <w:kern w:val="0"/>
          <w:sz w:val="24"/>
          <w:szCs w:val="24"/>
        </w:rPr>
        <w:t xml:space="preserve"> IU/mL</w:t>
      </w:r>
      <w:r w:rsidR="002C60AC">
        <w:rPr>
          <w:rFonts w:hint="eastAsia"/>
          <w:color w:val="000000"/>
          <w:kern w:val="0"/>
          <w:sz w:val="24"/>
          <w:szCs w:val="24"/>
        </w:rPr>
        <w:t>。</w:t>
      </w:r>
      <w:r w:rsidR="001518C5" w:rsidRPr="001518C5">
        <w:rPr>
          <w:rFonts w:hint="eastAsia"/>
          <w:color w:val="000000"/>
          <w:kern w:val="0"/>
          <w:sz w:val="24"/>
          <w:szCs w:val="24"/>
        </w:rPr>
        <w:t>大部分受试者</w:t>
      </w:r>
      <w:r w:rsidR="002C60AC">
        <w:rPr>
          <w:rFonts w:hint="eastAsia"/>
          <w:color w:val="000000"/>
          <w:kern w:val="0"/>
          <w:sz w:val="24"/>
          <w:szCs w:val="24"/>
        </w:rPr>
        <w:t>在研究结束</w:t>
      </w:r>
      <w:r w:rsidR="001518C5">
        <w:rPr>
          <w:rFonts w:hint="eastAsia"/>
          <w:color w:val="000000"/>
          <w:kern w:val="0"/>
          <w:sz w:val="24"/>
          <w:szCs w:val="24"/>
        </w:rPr>
        <w:t>停药</w:t>
      </w:r>
      <w:r w:rsidR="001518C5" w:rsidRPr="001518C5">
        <w:rPr>
          <w:rFonts w:hint="eastAsia"/>
          <w:color w:val="000000"/>
          <w:kern w:val="0"/>
          <w:sz w:val="24"/>
          <w:szCs w:val="24"/>
        </w:rPr>
        <w:t>后</w:t>
      </w:r>
      <w:r w:rsidR="001518C5" w:rsidRPr="001518C5">
        <w:rPr>
          <w:rFonts w:hint="eastAsia"/>
          <w:color w:val="000000"/>
          <w:kern w:val="0"/>
          <w:sz w:val="24"/>
          <w:szCs w:val="24"/>
        </w:rPr>
        <w:t>HBsAg</w:t>
      </w:r>
      <w:r w:rsidR="001518C5" w:rsidRPr="001518C5">
        <w:rPr>
          <w:rFonts w:hint="eastAsia"/>
          <w:color w:val="000000"/>
          <w:kern w:val="0"/>
          <w:sz w:val="24"/>
          <w:szCs w:val="24"/>
        </w:rPr>
        <w:t>水平恢复至基线</w:t>
      </w:r>
      <w:r w:rsidR="001A3F49">
        <w:rPr>
          <w:rFonts w:hint="eastAsia"/>
          <w:color w:val="000000"/>
          <w:kern w:val="0"/>
          <w:sz w:val="24"/>
          <w:szCs w:val="24"/>
        </w:rPr>
        <w:t>。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共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11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例受试者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HBsAg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水平下降≥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1 Log</w:t>
      </w:r>
      <w:r w:rsidR="00FB3E16" w:rsidRPr="001269AC">
        <w:rPr>
          <w:color w:val="000000"/>
          <w:kern w:val="0"/>
          <w:sz w:val="24"/>
          <w:szCs w:val="24"/>
          <w:vertAlign w:val="subscript"/>
        </w:rPr>
        <w:t>10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 xml:space="preserve"> IU/mL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，其中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30 mg BID</w:t>
      </w:r>
      <w:r w:rsidR="003A47A9">
        <w:rPr>
          <w:rFonts w:hint="eastAsia"/>
          <w:color w:val="000000"/>
          <w:kern w:val="0"/>
          <w:sz w:val="24"/>
          <w:szCs w:val="24"/>
        </w:rPr>
        <w:t>（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28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天</w:t>
      </w:r>
      <w:r w:rsidR="003A47A9">
        <w:rPr>
          <w:rFonts w:hint="eastAsia"/>
          <w:color w:val="000000"/>
          <w:kern w:val="0"/>
          <w:sz w:val="24"/>
          <w:szCs w:val="24"/>
        </w:rPr>
        <w:t>）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组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3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例，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60 mg BID</w:t>
      </w:r>
      <w:r w:rsidR="003A47A9">
        <w:rPr>
          <w:rFonts w:hint="eastAsia"/>
          <w:color w:val="000000"/>
          <w:kern w:val="0"/>
          <w:sz w:val="24"/>
          <w:szCs w:val="24"/>
        </w:rPr>
        <w:t>（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28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天</w:t>
      </w:r>
      <w:r w:rsidR="003A47A9">
        <w:rPr>
          <w:rFonts w:hint="eastAsia"/>
          <w:color w:val="000000"/>
          <w:kern w:val="0"/>
          <w:sz w:val="24"/>
          <w:szCs w:val="24"/>
        </w:rPr>
        <w:t>）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组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2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例，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30 mg BID</w:t>
      </w:r>
      <w:r w:rsidR="003A47A9">
        <w:rPr>
          <w:rFonts w:hint="eastAsia"/>
          <w:color w:val="000000"/>
          <w:kern w:val="0"/>
          <w:sz w:val="24"/>
          <w:szCs w:val="24"/>
        </w:rPr>
        <w:t>（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12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周</w:t>
      </w:r>
      <w:r w:rsidR="003A47A9">
        <w:rPr>
          <w:rFonts w:hint="eastAsia"/>
          <w:color w:val="000000"/>
          <w:kern w:val="0"/>
          <w:sz w:val="24"/>
          <w:szCs w:val="24"/>
        </w:rPr>
        <w:t>）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组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6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例</w:t>
      </w:r>
      <w:r w:rsidR="002C60AC">
        <w:rPr>
          <w:rFonts w:hint="eastAsia"/>
          <w:color w:val="000000"/>
          <w:kern w:val="0"/>
          <w:sz w:val="24"/>
          <w:szCs w:val="24"/>
        </w:rPr>
        <w:t>。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HBsAg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水平最大下降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1.64 Log</w:t>
      </w:r>
      <w:r w:rsidR="00FB3E16" w:rsidRPr="001269AC">
        <w:rPr>
          <w:color w:val="000000"/>
          <w:kern w:val="0"/>
          <w:sz w:val="24"/>
          <w:szCs w:val="24"/>
          <w:vertAlign w:val="subscript"/>
        </w:rPr>
        <w:t>10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 xml:space="preserve"> IU/mL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，出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lastRenderedPageBreak/>
        <w:t>现在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30 mg BID</w:t>
      </w:r>
      <w:r w:rsidR="0009099C">
        <w:rPr>
          <w:rFonts w:hint="eastAsia"/>
          <w:color w:val="000000"/>
          <w:kern w:val="0"/>
          <w:sz w:val="24"/>
          <w:szCs w:val="24"/>
        </w:rPr>
        <w:t>（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12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周</w:t>
      </w:r>
      <w:r w:rsidR="0009099C">
        <w:rPr>
          <w:rFonts w:hint="eastAsia"/>
          <w:color w:val="000000"/>
          <w:kern w:val="0"/>
          <w:sz w:val="24"/>
          <w:szCs w:val="24"/>
        </w:rPr>
        <w:t>）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剂量组。共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29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例受试者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HBsAg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水平下降超过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50%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，其中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30 mg BID</w:t>
      </w:r>
      <w:r w:rsidR="003A47A9">
        <w:rPr>
          <w:rFonts w:hint="eastAsia"/>
          <w:color w:val="000000"/>
          <w:kern w:val="0"/>
          <w:sz w:val="24"/>
          <w:szCs w:val="24"/>
        </w:rPr>
        <w:t>（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28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天</w:t>
      </w:r>
      <w:r w:rsidR="003A47A9">
        <w:rPr>
          <w:rFonts w:hint="eastAsia"/>
          <w:color w:val="000000"/>
          <w:kern w:val="0"/>
          <w:sz w:val="24"/>
          <w:szCs w:val="24"/>
        </w:rPr>
        <w:t>）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组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7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例，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60 mg BID</w:t>
      </w:r>
      <w:r w:rsidR="003A47A9">
        <w:rPr>
          <w:rFonts w:hint="eastAsia"/>
          <w:color w:val="000000"/>
          <w:kern w:val="0"/>
          <w:sz w:val="24"/>
          <w:szCs w:val="24"/>
        </w:rPr>
        <w:t>（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28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天</w:t>
      </w:r>
      <w:r w:rsidR="003A47A9">
        <w:rPr>
          <w:rFonts w:hint="eastAsia"/>
          <w:color w:val="000000"/>
          <w:kern w:val="0"/>
          <w:sz w:val="24"/>
          <w:szCs w:val="24"/>
        </w:rPr>
        <w:t>）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组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4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例，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30 mg BID</w:t>
      </w:r>
      <w:r w:rsidR="003A47A9">
        <w:rPr>
          <w:rFonts w:hint="eastAsia"/>
          <w:color w:val="000000"/>
          <w:kern w:val="0"/>
          <w:sz w:val="24"/>
          <w:szCs w:val="24"/>
        </w:rPr>
        <w:t>（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12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周</w:t>
      </w:r>
      <w:r w:rsidR="003A47A9">
        <w:rPr>
          <w:rFonts w:hint="eastAsia"/>
          <w:color w:val="000000"/>
          <w:kern w:val="0"/>
          <w:sz w:val="24"/>
          <w:szCs w:val="24"/>
        </w:rPr>
        <w:t>）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组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18</w:t>
      </w:r>
      <w:r w:rsidR="00FB3E16" w:rsidRPr="00FB3E16">
        <w:rPr>
          <w:rFonts w:hint="eastAsia"/>
          <w:color w:val="000000"/>
          <w:kern w:val="0"/>
          <w:sz w:val="24"/>
          <w:szCs w:val="24"/>
        </w:rPr>
        <w:t>例。</w:t>
      </w:r>
    </w:p>
    <w:p w14:paraId="71DFDF3A" w14:textId="493E784F" w:rsidR="00B15397" w:rsidRDefault="00F41EE1">
      <w:pPr>
        <w:spacing w:line="360" w:lineRule="auto"/>
        <w:ind w:firstLineChars="200" w:firstLine="480"/>
        <w:rPr>
          <w:color w:val="000000"/>
          <w:kern w:val="0"/>
          <w:sz w:val="24"/>
          <w:szCs w:val="24"/>
        </w:rPr>
      </w:pPr>
      <w:bookmarkStart w:id="1" w:name="_Hlk198126977"/>
      <w:r>
        <w:rPr>
          <w:rFonts w:hint="eastAsia"/>
          <w:color w:val="000000"/>
          <w:kern w:val="0"/>
          <w:sz w:val="24"/>
          <w:szCs w:val="24"/>
        </w:rPr>
        <w:t>药效学结果表明，</w:t>
      </w:r>
      <w:r w:rsidRPr="00F41EE1">
        <w:rPr>
          <w:rFonts w:hint="eastAsia"/>
          <w:color w:val="000000"/>
          <w:kern w:val="0"/>
          <w:sz w:val="24"/>
          <w:szCs w:val="24"/>
        </w:rPr>
        <w:t>30 mg BID</w:t>
      </w:r>
      <w:r>
        <w:rPr>
          <w:rFonts w:hint="eastAsia"/>
          <w:color w:val="000000"/>
          <w:kern w:val="0"/>
          <w:sz w:val="24"/>
          <w:szCs w:val="24"/>
        </w:rPr>
        <w:t>（</w:t>
      </w:r>
      <w:r w:rsidRPr="00F41EE1">
        <w:rPr>
          <w:rFonts w:hint="eastAsia"/>
          <w:color w:val="000000"/>
          <w:kern w:val="0"/>
          <w:sz w:val="24"/>
          <w:szCs w:val="24"/>
        </w:rPr>
        <w:t xml:space="preserve">28 </w:t>
      </w:r>
      <w:r w:rsidRPr="00F41EE1">
        <w:rPr>
          <w:rFonts w:hint="eastAsia"/>
          <w:color w:val="000000"/>
          <w:kern w:val="0"/>
          <w:sz w:val="24"/>
          <w:szCs w:val="24"/>
        </w:rPr>
        <w:t>天</w:t>
      </w:r>
      <w:r>
        <w:rPr>
          <w:rFonts w:hint="eastAsia"/>
          <w:color w:val="000000"/>
          <w:kern w:val="0"/>
          <w:sz w:val="24"/>
          <w:szCs w:val="24"/>
        </w:rPr>
        <w:t>）</w:t>
      </w:r>
      <w:r w:rsidR="00822367">
        <w:rPr>
          <w:rFonts w:hint="eastAsia"/>
          <w:color w:val="000000"/>
          <w:kern w:val="0"/>
          <w:sz w:val="24"/>
          <w:szCs w:val="24"/>
        </w:rPr>
        <w:t>、</w:t>
      </w:r>
      <w:r w:rsidRPr="00F41EE1">
        <w:rPr>
          <w:rFonts w:hint="eastAsia"/>
          <w:color w:val="000000"/>
          <w:kern w:val="0"/>
          <w:sz w:val="24"/>
          <w:szCs w:val="24"/>
        </w:rPr>
        <w:t>60 mg BID</w:t>
      </w:r>
      <w:r>
        <w:rPr>
          <w:rFonts w:hint="eastAsia"/>
          <w:color w:val="000000"/>
          <w:kern w:val="0"/>
          <w:sz w:val="24"/>
          <w:szCs w:val="24"/>
        </w:rPr>
        <w:t>（</w:t>
      </w:r>
      <w:r w:rsidRPr="00F41EE1">
        <w:rPr>
          <w:rFonts w:hint="eastAsia"/>
          <w:color w:val="000000"/>
          <w:kern w:val="0"/>
          <w:sz w:val="24"/>
          <w:szCs w:val="24"/>
        </w:rPr>
        <w:t xml:space="preserve">28 </w:t>
      </w:r>
      <w:r w:rsidRPr="00F41EE1">
        <w:rPr>
          <w:rFonts w:hint="eastAsia"/>
          <w:color w:val="000000"/>
          <w:kern w:val="0"/>
          <w:sz w:val="24"/>
          <w:szCs w:val="24"/>
        </w:rPr>
        <w:t>天</w:t>
      </w:r>
      <w:r>
        <w:rPr>
          <w:rFonts w:hint="eastAsia"/>
          <w:color w:val="000000"/>
          <w:kern w:val="0"/>
          <w:sz w:val="24"/>
          <w:szCs w:val="24"/>
        </w:rPr>
        <w:t>）</w:t>
      </w:r>
      <w:r w:rsidRPr="00F41EE1">
        <w:rPr>
          <w:rFonts w:hint="eastAsia"/>
          <w:color w:val="000000"/>
          <w:kern w:val="0"/>
          <w:sz w:val="24"/>
          <w:szCs w:val="24"/>
        </w:rPr>
        <w:t>和</w:t>
      </w:r>
      <w:r w:rsidRPr="00F41EE1">
        <w:rPr>
          <w:rFonts w:hint="eastAsia"/>
          <w:color w:val="000000"/>
          <w:kern w:val="0"/>
          <w:sz w:val="24"/>
          <w:szCs w:val="24"/>
        </w:rPr>
        <w:t xml:space="preserve"> 30 mg BID</w:t>
      </w:r>
      <w:r>
        <w:rPr>
          <w:rFonts w:hint="eastAsia"/>
          <w:color w:val="000000"/>
          <w:kern w:val="0"/>
          <w:sz w:val="24"/>
          <w:szCs w:val="24"/>
        </w:rPr>
        <w:t>（</w:t>
      </w:r>
      <w:r w:rsidRPr="00F41EE1">
        <w:rPr>
          <w:rFonts w:hint="eastAsia"/>
          <w:color w:val="000000"/>
          <w:kern w:val="0"/>
          <w:sz w:val="24"/>
          <w:szCs w:val="24"/>
        </w:rPr>
        <w:t xml:space="preserve">12 </w:t>
      </w:r>
      <w:r w:rsidRPr="00F41EE1">
        <w:rPr>
          <w:rFonts w:hint="eastAsia"/>
          <w:color w:val="000000"/>
          <w:kern w:val="0"/>
          <w:sz w:val="24"/>
          <w:szCs w:val="24"/>
        </w:rPr>
        <w:t>周</w:t>
      </w:r>
      <w:r>
        <w:rPr>
          <w:rFonts w:hint="eastAsia"/>
          <w:color w:val="000000"/>
          <w:kern w:val="0"/>
          <w:sz w:val="24"/>
          <w:szCs w:val="24"/>
        </w:rPr>
        <w:t>）</w:t>
      </w:r>
      <w:r w:rsidRPr="00F41EE1">
        <w:rPr>
          <w:rFonts w:hint="eastAsia"/>
          <w:color w:val="000000"/>
          <w:kern w:val="0"/>
          <w:sz w:val="24"/>
          <w:szCs w:val="24"/>
        </w:rPr>
        <w:t xml:space="preserve">GSTHG131 </w:t>
      </w:r>
      <w:r w:rsidRPr="00F41EE1">
        <w:rPr>
          <w:rFonts w:hint="eastAsia"/>
          <w:color w:val="000000"/>
          <w:kern w:val="0"/>
          <w:sz w:val="24"/>
          <w:szCs w:val="24"/>
        </w:rPr>
        <w:t>片给药后</w:t>
      </w:r>
      <w:r>
        <w:rPr>
          <w:rFonts w:hint="eastAsia"/>
          <w:color w:val="000000"/>
          <w:kern w:val="0"/>
          <w:sz w:val="24"/>
          <w:szCs w:val="24"/>
        </w:rPr>
        <w:t>，</w:t>
      </w:r>
      <w:r w:rsidRPr="00F41EE1">
        <w:rPr>
          <w:rFonts w:hint="eastAsia"/>
          <w:color w:val="000000"/>
          <w:kern w:val="0"/>
          <w:sz w:val="24"/>
          <w:szCs w:val="24"/>
        </w:rPr>
        <w:t xml:space="preserve">HBsAg </w:t>
      </w:r>
      <w:r w:rsidRPr="00F41EE1">
        <w:rPr>
          <w:rFonts w:hint="eastAsia"/>
          <w:color w:val="000000"/>
          <w:kern w:val="0"/>
          <w:sz w:val="24"/>
          <w:szCs w:val="24"/>
        </w:rPr>
        <w:t>水平可持续降低，</w:t>
      </w:r>
      <w:r>
        <w:rPr>
          <w:rFonts w:hint="eastAsia"/>
          <w:color w:val="000000"/>
          <w:kern w:val="0"/>
          <w:sz w:val="24"/>
          <w:szCs w:val="24"/>
        </w:rPr>
        <w:t>符合预期</w:t>
      </w:r>
      <w:r w:rsidR="001E024C">
        <w:rPr>
          <w:rFonts w:hint="eastAsia"/>
          <w:color w:val="000000"/>
          <w:kern w:val="0"/>
          <w:sz w:val="24"/>
          <w:szCs w:val="24"/>
        </w:rPr>
        <w:t>，为</w:t>
      </w:r>
      <w:r w:rsidR="00BE34AD">
        <w:rPr>
          <w:rFonts w:hint="eastAsia"/>
          <w:color w:val="000000"/>
          <w:kern w:val="0"/>
          <w:sz w:val="24"/>
          <w:szCs w:val="24"/>
        </w:rPr>
        <w:t>后续</w:t>
      </w:r>
      <w:r w:rsidR="001E024C">
        <w:rPr>
          <w:rFonts w:hint="eastAsia"/>
          <w:color w:val="000000"/>
          <w:kern w:val="0"/>
          <w:sz w:val="24"/>
          <w:szCs w:val="24"/>
        </w:rPr>
        <w:t>延长</w:t>
      </w:r>
      <w:r w:rsidR="00BE34AD">
        <w:rPr>
          <w:rFonts w:hint="eastAsia"/>
          <w:color w:val="000000"/>
          <w:kern w:val="0"/>
          <w:sz w:val="24"/>
          <w:szCs w:val="24"/>
        </w:rPr>
        <w:t>GST-HG</w:t>
      </w:r>
      <w:r w:rsidR="001E024C">
        <w:rPr>
          <w:rFonts w:hint="eastAsia"/>
          <w:color w:val="000000"/>
          <w:kern w:val="0"/>
          <w:sz w:val="24"/>
          <w:szCs w:val="24"/>
        </w:rPr>
        <w:t>131</w:t>
      </w:r>
      <w:r w:rsidR="001E024C">
        <w:rPr>
          <w:rFonts w:hint="eastAsia"/>
          <w:color w:val="000000"/>
          <w:kern w:val="0"/>
          <w:sz w:val="24"/>
          <w:szCs w:val="24"/>
        </w:rPr>
        <w:t>给药时间</w:t>
      </w:r>
      <w:r w:rsidR="00BE34AD">
        <w:rPr>
          <w:rFonts w:hint="eastAsia"/>
          <w:color w:val="000000"/>
          <w:kern w:val="0"/>
          <w:sz w:val="24"/>
          <w:szCs w:val="24"/>
        </w:rPr>
        <w:t>的治疗方案提供了</w:t>
      </w:r>
      <w:r w:rsidR="00237353">
        <w:rPr>
          <w:rFonts w:hint="eastAsia"/>
          <w:color w:val="000000"/>
          <w:kern w:val="0"/>
          <w:sz w:val="24"/>
          <w:szCs w:val="24"/>
        </w:rPr>
        <w:t>有力的</w:t>
      </w:r>
      <w:r w:rsidR="00BE34AD">
        <w:rPr>
          <w:rFonts w:hint="eastAsia"/>
          <w:color w:val="000000"/>
          <w:kern w:val="0"/>
          <w:sz w:val="24"/>
          <w:szCs w:val="24"/>
        </w:rPr>
        <w:t>科学</w:t>
      </w:r>
      <w:r w:rsidR="00237353">
        <w:rPr>
          <w:rFonts w:hint="eastAsia"/>
          <w:color w:val="000000"/>
          <w:kern w:val="0"/>
          <w:sz w:val="24"/>
          <w:szCs w:val="24"/>
        </w:rPr>
        <w:t>依据。</w:t>
      </w:r>
    </w:p>
    <w:bookmarkEnd w:id="1"/>
    <w:p w14:paraId="3483ADD4" w14:textId="23C6761B" w:rsidR="00A71ADE" w:rsidRDefault="00312A57">
      <w:pPr>
        <w:spacing w:line="360" w:lineRule="auto"/>
        <w:ind w:firstLineChars="200" w:firstLine="482"/>
        <w:rPr>
          <w:b/>
          <w:color w:val="000000"/>
          <w:kern w:val="0"/>
          <w:sz w:val="24"/>
          <w:szCs w:val="24"/>
        </w:rPr>
      </w:pPr>
      <w:r>
        <w:rPr>
          <w:rFonts w:hint="eastAsia"/>
          <w:b/>
          <w:color w:val="000000"/>
          <w:kern w:val="0"/>
          <w:sz w:val="24"/>
          <w:szCs w:val="24"/>
        </w:rPr>
        <w:t>2</w:t>
      </w:r>
      <w:r>
        <w:rPr>
          <w:rFonts w:hint="eastAsia"/>
          <w:b/>
          <w:color w:val="000000"/>
          <w:kern w:val="0"/>
          <w:sz w:val="24"/>
          <w:szCs w:val="24"/>
        </w:rPr>
        <w:t>、</w:t>
      </w:r>
      <w:r w:rsidR="00921A9B">
        <w:rPr>
          <w:rFonts w:hint="eastAsia"/>
          <w:b/>
          <w:color w:val="000000"/>
          <w:kern w:val="0"/>
          <w:sz w:val="24"/>
          <w:szCs w:val="24"/>
        </w:rPr>
        <w:t>临床</w:t>
      </w:r>
      <w:r>
        <w:rPr>
          <w:rFonts w:hint="eastAsia"/>
          <w:b/>
          <w:color w:val="000000"/>
          <w:kern w:val="0"/>
          <w:sz w:val="24"/>
          <w:szCs w:val="24"/>
        </w:rPr>
        <w:t>安全性结论</w:t>
      </w:r>
    </w:p>
    <w:p w14:paraId="3AB07E4D" w14:textId="6050E087" w:rsidR="00A71ADE" w:rsidRDefault="00312A57">
      <w:pPr>
        <w:spacing w:line="360" w:lineRule="auto"/>
        <w:ind w:firstLineChars="200" w:firstLine="480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本试验共入组</w:t>
      </w:r>
      <w:r w:rsidR="003B7033">
        <w:rPr>
          <w:rFonts w:hint="eastAsia"/>
          <w:color w:val="000000"/>
          <w:kern w:val="0"/>
          <w:sz w:val="24"/>
          <w:szCs w:val="24"/>
        </w:rPr>
        <w:t>45</w:t>
      </w:r>
      <w:r w:rsidR="003B7033">
        <w:rPr>
          <w:rFonts w:hint="eastAsia"/>
          <w:color w:val="000000"/>
          <w:kern w:val="0"/>
          <w:sz w:val="24"/>
          <w:szCs w:val="24"/>
        </w:rPr>
        <w:t>例</w:t>
      </w:r>
      <w:r>
        <w:rPr>
          <w:rFonts w:hint="eastAsia"/>
          <w:color w:val="000000"/>
          <w:kern w:val="0"/>
          <w:sz w:val="24"/>
          <w:szCs w:val="24"/>
        </w:rPr>
        <w:t>患者，各组均未发生</w:t>
      </w:r>
      <w:r w:rsidR="0022190D">
        <w:rPr>
          <w:rFonts w:hint="eastAsia"/>
          <w:color w:val="000000"/>
          <w:kern w:val="0"/>
          <w:sz w:val="24"/>
          <w:szCs w:val="24"/>
        </w:rPr>
        <w:t>与</w:t>
      </w:r>
      <w:r>
        <w:rPr>
          <w:rFonts w:hint="eastAsia"/>
          <w:color w:val="000000"/>
          <w:kern w:val="0"/>
          <w:sz w:val="24"/>
          <w:szCs w:val="24"/>
        </w:rPr>
        <w:t>药物相关的严重不良事件，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未观察到不良事件与剂量存在明确的相关性，</w:t>
      </w:r>
      <w:r>
        <w:rPr>
          <w:rFonts w:hint="eastAsia"/>
          <w:color w:val="000000"/>
          <w:kern w:val="0"/>
          <w:sz w:val="24"/>
          <w:szCs w:val="24"/>
        </w:rPr>
        <w:t>未出现新的</w:t>
      </w:r>
      <w:r w:rsidR="0009099C" w:rsidRPr="0009099C">
        <w:rPr>
          <w:rFonts w:hint="eastAsia"/>
          <w:color w:val="000000"/>
          <w:kern w:val="0"/>
          <w:sz w:val="24"/>
          <w:szCs w:val="24"/>
        </w:rPr>
        <w:t>或其他特殊性</w:t>
      </w:r>
      <w:r>
        <w:rPr>
          <w:rFonts w:hint="eastAsia"/>
          <w:color w:val="000000"/>
          <w:kern w:val="0"/>
          <w:sz w:val="24"/>
          <w:szCs w:val="24"/>
        </w:rPr>
        <w:t>安全性信号，整体安全性良好。</w:t>
      </w:r>
      <w:r>
        <w:rPr>
          <w:rFonts w:hint="eastAsia"/>
          <w:color w:val="000000"/>
          <w:kern w:val="0"/>
          <w:sz w:val="24"/>
          <w:szCs w:val="24"/>
        </w:rPr>
        <w:t xml:space="preserve"> </w:t>
      </w:r>
    </w:p>
    <w:p w14:paraId="1FEA131C" w14:textId="19C27542" w:rsidR="00E622C8" w:rsidRPr="00E622C8" w:rsidRDefault="00E622C8">
      <w:pPr>
        <w:spacing w:line="360" w:lineRule="auto"/>
        <w:ind w:firstLineChars="200" w:firstLine="480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综上，</w:t>
      </w:r>
      <w:r>
        <w:rPr>
          <w:rFonts w:hint="eastAsia"/>
          <w:color w:val="000000"/>
          <w:kern w:val="0"/>
          <w:sz w:val="24"/>
          <w:szCs w:val="24"/>
        </w:rPr>
        <w:t>GST-HG1</w:t>
      </w:r>
      <w:r w:rsidR="00FE03FF">
        <w:rPr>
          <w:rFonts w:hint="eastAsia"/>
          <w:color w:val="000000"/>
          <w:kern w:val="0"/>
          <w:sz w:val="24"/>
          <w:szCs w:val="24"/>
        </w:rPr>
        <w:t>3</w:t>
      </w:r>
      <w:r>
        <w:rPr>
          <w:rFonts w:hint="eastAsia"/>
          <w:color w:val="000000"/>
          <w:kern w:val="0"/>
          <w:sz w:val="24"/>
          <w:szCs w:val="24"/>
        </w:rPr>
        <w:t>1</w:t>
      </w:r>
      <w:r>
        <w:rPr>
          <w:rFonts w:hint="eastAsia"/>
          <w:color w:val="000000"/>
          <w:kern w:val="0"/>
          <w:sz w:val="24"/>
          <w:szCs w:val="24"/>
        </w:rPr>
        <w:t>明显降低</w:t>
      </w:r>
      <w:r w:rsidR="00596909">
        <w:rPr>
          <w:rFonts w:hint="eastAsia"/>
          <w:color w:val="000000"/>
          <w:kern w:val="0"/>
          <w:sz w:val="24"/>
          <w:szCs w:val="24"/>
        </w:rPr>
        <w:t>慢性乙型肝炎患者</w:t>
      </w:r>
      <w:r>
        <w:rPr>
          <w:rFonts w:hint="eastAsia"/>
          <w:color w:val="000000"/>
          <w:kern w:val="0"/>
          <w:sz w:val="24"/>
          <w:szCs w:val="24"/>
        </w:rPr>
        <w:t>HB</w:t>
      </w:r>
      <w:r w:rsidR="00FE03FF">
        <w:rPr>
          <w:rFonts w:hint="eastAsia"/>
          <w:color w:val="000000"/>
          <w:kern w:val="0"/>
          <w:sz w:val="24"/>
          <w:szCs w:val="24"/>
        </w:rPr>
        <w:t>sAg</w:t>
      </w:r>
      <w:r w:rsidR="00596909">
        <w:rPr>
          <w:rFonts w:hint="eastAsia"/>
          <w:color w:val="000000"/>
          <w:kern w:val="0"/>
          <w:sz w:val="24"/>
          <w:szCs w:val="24"/>
        </w:rPr>
        <w:t>水平</w:t>
      </w:r>
      <w:r>
        <w:rPr>
          <w:rFonts w:hint="eastAsia"/>
          <w:color w:val="000000"/>
          <w:kern w:val="0"/>
          <w:sz w:val="24"/>
          <w:szCs w:val="24"/>
        </w:rPr>
        <w:t>，为公司未来</w:t>
      </w:r>
      <w:proofErr w:type="gramStart"/>
      <w:r>
        <w:rPr>
          <w:rFonts w:hint="eastAsia"/>
          <w:color w:val="000000"/>
          <w:kern w:val="0"/>
          <w:sz w:val="24"/>
          <w:szCs w:val="24"/>
        </w:rPr>
        <w:t>联合</w:t>
      </w:r>
      <w:r w:rsidR="00FE03FF">
        <w:rPr>
          <w:rFonts w:hint="eastAsia"/>
          <w:color w:val="000000"/>
          <w:kern w:val="0"/>
          <w:sz w:val="24"/>
          <w:szCs w:val="24"/>
        </w:rPr>
        <w:t>核衣壳</w:t>
      </w:r>
      <w:proofErr w:type="gramEnd"/>
      <w:r w:rsidR="00FE03FF">
        <w:rPr>
          <w:rFonts w:hint="eastAsia"/>
          <w:color w:val="000000"/>
          <w:kern w:val="0"/>
          <w:sz w:val="24"/>
          <w:szCs w:val="24"/>
        </w:rPr>
        <w:t>抑制</w:t>
      </w:r>
      <w:r>
        <w:rPr>
          <w:rFonts w:hint="eastAsia"/>
          <w:color w:val="000000"/>
          <w:kern w:val="0"/>
          <w:sz w:val="24"/>
          <w:szCs w:val="24"/>
        </w:rPr>
        <w:t>剂</w:t>
      </w:r>
      <w:r>
        <w:rPr>
          <w:rFonts w:hint="eastAsia"/>
          <w:color w:val="000000"/>
          <w:kern w:val="0"/>
          <w:sz w:val="24"/>
          <w:szCs w:val="24"/>
        </w:rPr>
        <w:t>GST-HG1</w:t>
      </w:r>
      <w:r w:rsidR="00FE03FF">
        <w:rPr>
          <w:rFonts w:hint="eastAsia"/>
          <w:color w:val="000000"/>
          <w:kern w:val="0"/>
          <w:sz w:val="24"/>
          <w:szCs w:val="24"/>
        </w:rPr>
        <w:t>4</w:t>
      </w:r>
      <w:r>
        <w:rPr>
          <w:rFonts w:hint="eastAsia"/>
          <w:color w:val="000000"/>
          <w:kern w:val="0"/>
          <w:sz w:val="24"/>
          <w:szCs w:val="24"/>
        </w:rPr>
        <w:t>1</w:t>
      </w:r>
      <w:r w:rsidR="008F66EA">
        <w:rPr>
          <w:rFonts w:hint="eastAsia"/>
          <w:color w:val="000000"/>
          <w:kern w:val="0"/>
          <w:sz w:val="24"/>
          <w:szCs w:val="24"/>
        </w:rPr>
        <w:t>（</w:t>
      </w:r>
      <w:r w:rsidR="008F66EA">
        <w:rPr>
          <w:rFonts w:hint="eastAsia"/>
          <w:color w:val="000000"/>
          <w:kern w:val="0"/>
          <w:sz w:val="24"/>
          <w:szCs w:val="24"/>
        </w:rPr>
        <w:t>2024</w:t>
      </w:r>
      <w:r w:rsidR="008F66EA">
        <w:rPr>
          <w:rFonts w:hint="eastAsia"/>
          <w:color w:val="000000"/>
          <w:kern w:val="0"/>
          <w:sz w:val="24"/>
          <w:szCs w:val="24"/>
        </w:rPr>
        <w:t>年</w:t>
      </w:r>
      <w:r w:rsidR="008F66EA">
        <w:rPr>
          <w:rFonts w:hint="eastAsia"/>
          <w:color w:val="000000"/>
          <w:kern w:val="0"/>
          <w:sz w:val="24"/>
          <w:szCs w:val="24"/>
        </w:rPr>
        <w:t>12</w:t>
      </w:r>
      <w:r w:rsidR="008F66EA">
        <w:rPr>
          <w:rFonts w:hint="eastAsia"/>
          <w:color w:val="000000"/>
          <w:kern w:val="0"/>
          <w:sz w:val="24"/>
          <w:szCs w:val="24"/>
        </w:rPr>
        <w:t>月</w:t>
      </w:r>
      <w:r w:rsidR="000F637D">
        <w:rPr>
          <w:rFonts w:hint="eastAsia"/>
          <w:color w:val="000000"/>
          <w:kern w:val="0"/>
          <w:sz w:val="24"/>
          <w:szCs w:val="24"/>
        </w:rPr>
        <w:t>被纳入突破性治疗品种</w:t>
      </w:r>
      <w:r w:rsidR="002B7B9C">
        <w:rPr>
          <w:rFonts w:hint="eastAsia"/>
          <w:color w:val="000000"/>
          <w:kern w:val="0"/>
          <w:sz w:val="24"/>
          <w:szCs w:val="24"/>
        </w:rPr>
        <w:t>）</w:t>
      </w:r>
      <w:r>
        <w:rPr>
          <w:rFonts w:hint="eastAsia"/>
          <w:color w:val="000000"/>
          <w:kern w:val="0"/>
          <w:sz w:val="24"/>
          <w:szCs w:val="24"/>
        </w:rPr>
        <w:t>推动实现乙肝临床治愈提供新的策略和可能。</w:t>
      </w:r>
    </w:p>
    <w:p w14:paraId="71EBE96B" w14:textId="77777777" w:rsidR="00A71ADE" w:rsidRDefault="00312A57">
      <w:pPr>
        <w:spacing w:beforeLines="50" w:before="156" w:line="360" w:lineRule="auto"/>
        <w:ind w:firstLineChars="200" w:firstLine="482"/>
        <w:rPr>
          <w:b/>
          <w:color w:val="000000"/>
          <w:kern w:val="0"/>
          <w:sz w:val="24"/>
          <w:szCs w:val="24"/>
        </w:rPr>
      </w:pPr>
      <w:r>
        <w:rPr>
          <w:rFonts w:hint="eastAsia"/>
          <w:b/>
          <w:color w:val="000000"/>
          <w:kern w:val="0"/>
          <w:sz w:val="24"/>
          <w:szCs w:val="24"/>
        </w:rPr>
        <w:t>四、风险提示</w:t>
      </w:r>
    </w:p>
    <w:p w14:paraId="02669C52" w14:textId="67BB577D" w:rsidR="00A71ADE" w:rsidRDefault="00312A57" w:rsidP="000F637D">
      <w:pPr>
        <w:spacing w:line="360" w:lineRule="auto"/>
        <w:ind w:firstLineChars="200" w:firstLine="480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1</w:t>
      </w:r>
      <w:r>
        <w:rPr>
          <w:rFonts w:hint="eastAsia"/>
          <w:color w:val="000000"/>
          <w:kern w:val="0"/>
          <w:sz w:val="24"/>
          <w:szCs w:val="24"/>
        </w:rPr>
        <w:t>、公司乙肝治疗创新药</w:t>
      </w:r>
      <w:r>
        <w:rPr>
          <w:rFonts w:hint="eastAsia"/>
          <w:color w:val="000000"/>
          <w:kern w:val="0"/>
          <w:sz w:val="24"/>
          <w:szCs w:val="24"/>
        </w:rPr>
        <w:t>GST-HG1</w:t>
      </w:r>
      <w:r w:rsidR="009664FF">
        <w:rPr>
          <w:rFonts w:hint="eastAsia"/>
          <w:color w:val="000000"/>
          <w:kern w:val="0"/>
          <w:sz w:val="24"/>
          <w:szCs w:val="24"/>
        </w:rPr>
        <w:t>3</w:t>
      </w:r>
      <w:r>
        <w:rPr>
          <w:rFonts w:hint="eastAsia"/>
          <w:color w:val="000000"/>
          <w:kern w:val="0"/>
          <w:sz w:val="24"/>
          <w:szCs w:val="24"/>
        </w:rPr>
        <w:t>1</w:t>
      </w:r>
      <w:r>
        <w:rPr>
          <w:rFonts w:hint="eastAsia"/>
          <w:color w:val="000000"/>
          <w:kern w:val="0"/>
          <w:sz w:val="24"/>
          <w:szCs w:val="24"/>
        </w:rPr>
        <w:t>目前已取得</w:t>
      </w:r>
      <w:r w:rsidR="00F5139B">
        <w:rPr>
          <w:rFonts w:hint="eastAsia"/>
          <w:color w:val="000000"/>
          <w:kern w:val="0"/>
          <w:sz w:val="24"/>
          <w:szCs w:val="24"/>
        </w:rPr>
        <w:t>II</w:t>
      </w:r>
      <w:r w:rsidR="00F5139B">
        <w:rPr>
          <w:rFonts w:hint="eastAsia"/>
          <w:color w:val="000000"/>
          <w:kern w:val="0"/>
          <w:sz w:val="24"/>
          <w:szCs w:val="24"/>
        </w:rPr>
        <w:t>期</w:t>
      </w:r>
      <w:r>
        <w:rPr>
          <w:rFonts w:hint="eastAsia"/>
          <w:color w:val="000000"/>
          <w:kern w:val="0"/>
          <w:sz w:val="24"/>
          <w:szCs w:val="24"/>
        </w:rPr>
        <w:t>研究总结报告，</w:t>
      </w:r>
      <w:r w:rsidR="000F637D">
        <w:rPr>
          <w:rFonts w:hint="eastAsia"/>
          <w:color w:val="000000"/>
          <w:kern w:val="0"/>
          <w:sz w:val="24"/>
          <w:szCs w:val="24"/>
        </w:rPr>
        <w:t>且</w:t>
      </w:r>
      <w:r w:rsidR="000F637D" w:rsidRPr="000F637D">
        <w:rPr>
          <w:rFonts w:hint="eastAsia"/>
          <w:color w:val="000000"/>
          <w:kern w:val="0"/>
          <w:sz w:val="24"/>
          <w:szCs w:val="24"/>
        </w:rPr>
        <w:t>GST-HG131</w:t>
      </w:r>
      <w:r w:rsidR="000F637D" w:rsidRPr="000F637D">
        <w:rPr>
          <w:rFonts w:hint="eastAsia"/>
          <w:color w:val="000000"/>
          <w:kern w:val="0"/>
          <w:sz w:val="24"/>
          <w:szCs w:val="24"/>
        </w:rPr>
        <w:t>联合</w:t>
      </w:r>
      <w:r w:rsidR="000F637D" w:rsidRPr="000F637D">
        <w:rPr>
          <w:rFonts w:hint="eastAsia"/>
          <w:color w:val="000000"/>
          <w:kern w:val="0"/>
          <w:sz w:val="24"/>
          <w:szCs w:val="24"/>
        </w:rPr>
        <w:t>GST-HG141</w:t>
      </w:r>
      <w:r w:rsidR="000F637D" w:rsidRPr="000F637D">
        <w:rPr>
          <w:rFonts w:hint="eastAsia"/>
          <w:color w:val="000000"/>
          <w:kern w:val="0"/>
          <w:sz w:val="24"/>
          <w:szCs w:val="24"/>
        </w:rPr>
        <w:t>针对乙肝经</w:t>
      </w:r>
      <w:proofErr w:type="gramStart"/>
      <w:r w:rsidR="000F637D" w:rsidRPr="000F637D">
        <w:rPr>
          <w:rFonts w:hint="eastAsia"/>
          <w:color w:val="000000"/>
          <w:kern w:val="0"/>
          <w:sz w:val="24"/>
          <w:szCs w:val="24"/>
        </w:rPr>
        <w:t>治患者</w:t>
      </w:r>
      <w:proofErr w:type="gramEnd"/>
      <w:r w:rsidR="000F637D" w:rsidRPr="000F637D">
        <w:rPr>
          <w:rFonts w:hint="eastAsia"/>
          <w:color w:val="000000"/>
          <w:kern w:val="0"/>
          <w:sz w:val="24"/>
          <w:szCs w:val="24"/>
        </w:rPr>
        <w:t>的临床试验</w:t>
      </w:r>
      <w:r w:rsidR="000F637D">
        <w:rPr>
          <w:rFonts w:hint="eastAsia"/>
          <w:color w:val="000000"/>
          <w:kern w:val="0"/>
          <w:sz w:val="24"/>
          <w:szCs w:val="24"/>
        </w:rPr>
        <w:t>项目被纳入</w:t>
      </w:r>
      <w:r w:rsidR="000F637D" w:rsidRPr="000F637D">
        <w:rPr>
          <w:rFonts w:hint="eastAsia"/>
          <w:color w:val="000000"/>
          <w:kern w:val="0"/>
          <w:sz w:val="24"/>
          <w:szCs w:val="24"/>
        </w:rPr>
        <w:t>优化创新药临床试验</w:t>
      </w:r>
      <w:proofErr w:type="gramStart"/>
      <w:r w:rsidR="000F637D" w:rsidRPr="000F637D">
        <w:rPr>
          <w:rFonts w:hint="eastAsia"/>
          <w:color w:val="000000"/>
          <w:kern w:val="0"/>
          <w:sz w:val="24"/>
          <w:szCs w:val="24"/>
        </w:rPr>
        <w:t>审评审批</w:t>
      </w:r>
      <w:proofErr w:type="gramEnd"/>
      <w:r w:rsidR="000F637D" w:rsidRPr="000F637D">
        <w:rPr>
          <w:rFonts w:hint="eastAsia"/>
          <w:color w:val="000000"/>
          <w:kern w:val="0"/>
          <w:sz w:val="24"/>
          <w:szCs w:val="24"/>
        </w:rPr>
        <w:t>试点</w:t>
      </w:r>
      <w:r w:rsidR="000F637D">
        <w:rPr>
          <w:rFonts w:hint="eastAsia"/>
          <w:color w:val="000000"/>
          <w:kern w:val="0"/>
          <w:sz w:val="24"/>
          <w:szCs w:val="24"/>
        </w:rPr>
        <w:t>并取得临床试验</w:t>
      </w:r>
      <w:r w:rsidR="000F637D" w:rsidRPr="000F637D">
        <w:rPr>
          <w:rFonts w:hint="eastAsia"/>
          <w:color w:val="000000"/>
          <w:kern w:val="0"/>
          <w:sz w:val="24"/>
          <w:szCs w:val="24"/>
        </w:rPr>
        <w:t>申请批准</w:t>
      </w:r>
      <w:r w:rsidR="000F637D">
        <w:rPr>
          <w:rFonts w:hint="eastAsia"/>
          <w:color w:val="000000"/>
          <w:kern w:val="0"/>
          <w:sz w:val="24"/>
          <w:szCs w:val="24"/>
        </w:rPr>
        <w:t>，</w:t>
      </w:r>
      <w:r>
        <w:rPr>
          <w:rFonts w:hint="eastAsia"/>
          <w:color w:val="000000"/>
          <w:kern w:val="0"/>
          <w:sz w:val="24"/>
          <w:szCs w:val="24"/>
        </w:rPr>
        <w:t>尚需开展</w:t>
      </w:r>
      <w:r w:rsidR="000F637D">
        <w:rPr>
          <w:rFonts w:hint="eastAsia"/>
          <w:color w:val="000000"/>
          <w:kern w:val="0"/>
          <w:sz w:val="24"/>
          <w:szCs w:val="24"/>
        </w:rPr>
        <w:t>后续</w:t>
      </w:r>
      <w:r>
        <w:rPr>
          <w:rFonts w:hint="eastAsia"/>
          <w:color w:val="000000"/>
          <w:kern w:val="0"/>
          <w:sz w:val="24"/>
          <w:szCs w:val="24"/>
        </w:rPr>
        <w:t>临床研究并经国家药品审评部门审批通过后方可上市。</w:t>
      </w:r>
      <w:r w:rsidR="000E0EB4" w:rsidRPr="000E0EB4">
        <w:rPr>
          <w:rFonts w:hint="eastAsia"/>
          <w:color w:val="000000"/>
          <w:kern w:val="0"/>
          <w:sz w:val="24"/>
          <w:szCs w:val="24"/>
        </w:rPr>
        <w:t>公司已有</w:t>
      </w:r>
      <w:r w:rsidR="000E0EB4">
        <w:rPr>
          <w:rFonts w:hint="eastAsia"/>
          <w:color w:val="000000"/>
          <w:kern w:val="0"/>
          <w:sz w:val="24"/>
          <w:szCs w:val="24"/>
        </w:rPr>
        <w:t>成功开发</w:t>
      </w:r>
      <w:r w:rsidR="000E0EB4" w:rsidRPr="000E0EB4">
        <w:rPr>
          <w:rFonts w:hint="eastAsia"/>
          <w:color w:val="000000"/>
          <w:kern w:val="0"/>
          <w:sz w:val="24"/>
          <w:szCs w:val="24"/>
        </w:rPr>
        <w:t>抗新冠病毒创新药泰中定的</w:t>
      </w:r>
      <w:r w:rsidR="000E0EB4">
        <w:rPr>
          <w:rFonts w:hint="eastAsia"/>
          <w:color w:val="000000"/>
          <w:kern w:val="0"/>
          <w:sz w:val="24"/>
          <w:szCs w:val="24"/>
        </w:rPr>
        <w:t>创新药</w:t>
      </w:r>
      <w:r w:rsidR="000E0EB4" w:rsidRPr="000E0EB4">
        <w:rPr>
          <w:rFonts w:hint="eastAsia"/>
          <w:color w:val="000000"/>
          <w:kern w:val="0"/>
          <w:sz w:val="24"/>
          <w:szCs w:val="24"/>
        </w:rPr>
        <w:t>研发经验</w:t>
      </w:r>
      <w:r w:rsidR="00426591">
        <w:rPr>
          <w:rFonts w:hint="eastAsia"/>
          <w:color w:val="000000"/>
          <w:kern w:val="0"/>
          <w:sz w:val="24"/>
          <w:szCs w:val="24"/>
        </w:rPr>
        <w:t>，但</w:t>
      </w:r>
      <w:r>
        <w:rPr>
          <w:rFonts w:hint="eastAsia"/>
          <w:color w:val="000000"/>
          <w:kern w:val="0"/>
          <w:sz w:val="24"/>
          <w:szCs w:val="24"/>
        </w:rPr>
        <w:t>创新药研发周期长，投入大，风险高，容易受到技术、审批、政策等多方面因素的影响，临床研究存在结果不及预期甚至临床研究失败的风险，后续能否获得批准存在不确定性。敬请广大投资者注意投资风险。</w:t>
      </w:r>
    </w:p>
    <w:p w14:paraId="2EF9F873" w14:textId="0B06BCC7" w:rsidR="00A71ADE" w:rsidRDefault="000F637D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2</w:t>
      </w:r>
      <w:r w:rsidR="00312A57">
        <w:rPr>
          <w:rFonts w:hint="eastAsia"/>
          <w:color w:val="000000"/>
          <w:kern w:val="0"/>
          <w:sz w:val="24"/>
          <w:szCs w:val="24"/>
        </w:rPr>
        <w:t>、公司指定的信息披露媒体为《证券时报》、《证券日报》、《中国证券报》、《上海证券报》和巨潮资讯网（</w:t>
      </w:r>
      <w:r w:rsidR="00312A57">
        <w:rPr>
          <w:rFonts w:hint="eastAsia"/>
          <w:color w:val="000000"/>
          <w:kern w:val="0"/>
          <w:sz w:val="24"/>
          <w:szCs w:val="24"/>
        </w:rPr>
        <w:t>http://www.cninfo.com.cn</w:t>
      </w:r>
      <w:r w:rsidR="00312A57">
        <w:rPr>
          <w:rFonts w:hint="eastAsia"/>
          <w:color w:val="000000"/>
          <w:kern w:val="0"/>
          <w:sz w:val="24"/>
          <w:szCs w:val="24"/>
        </w:rPr>
        <w:t>），有关公司的信息均以在上述指定媒体刊登的信息为准，敬请广大投资者理性投资，注意风险。</w:t>
      </w:r>
      <w:r w:rsidR="00312A57">
        <w:rPr>
          <w:color w:val="000000"/>
          <w:kern w:val="0"/>
          <w:sz w:val="24"/>
          <w:szCs w:val="24"/>
        </w:rPr>
        <w:cr/>
      </w:r>
    </w:p>
    <w:p w14:paraId="46BD24B3" w14:textId="77777777" w:rsidR="00A71ADE" w:rsidRDefault="00312A57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特此公告！</w:t>
      </w:r>
    </w:p>
    <w:p w14:paraId="6135C775" w14:textId="77777777" w:rsidR="00A71ADE" w:rsidRDefault="00A71ADE">
      <w:pPr>
        <w:spacing w:line="360" w:lineRule="auto"/>
        <w:rPr>
          <w:color w:val="000000"/>
          <w:sz w:val="24"/>
          <w:szCs w:val="24"/>
        </w:rPr>
      </w:pPr>
    </w:p>
    <w:p w14:paraId="6731CAF0" w14:textId="77777777" w:rsidR="00A71ADE" w:rsidRDefault="00312A57">
      <w:pPr>
        <w:spacing w:line="360" w:lineRule="auto"/>
        <w:ind w:firstLineChars="200" w:firstLine="48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</w:t>
      </w:r>
      <w:r>
        <w:rPr>
          <w:color w:val="000000"/>
          <w:sz w:val="24"/>
          <w:szCs w:val="24"/>
        </w:rPr>
        <w:t>福建广生堂药业股份有限公司董事会</w:t>
      </w:r>
    </w:p>
    <w:p w14:paraId="7C43478E" w14:textId="58623AAF" w:rsidR="001C6DD8" w:rsidRDefault="00312A57">
      <w:pPr>
        <w:spacing w:line="360" w:lineRule="auto"/>
        <w:ind w:firstLineChars="200" w:firstLine="48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</w:t>
      </w:r>
      <w:r w:rsidR="00A97F65">
        <w:rPr>
          <w:sz w:val="24"/>
          <w:szCs w:val="24"/>
        </w:rPr>
        <w:t>202</w:t>
      </w:r>
      <w:r w:rsidR="00611521">
        <w:rPr>
          <w:rFonts w:hint="eastAsia"/>
          <w:sz w:val="24"/>
          <w:szCs w:val="24"/>
        </w:rPr>
        <w:t>5</w:t>
      </w:r>
      <w:r w:rsidR="00A97F65">
        <w:rPr>
          <w:sz w:val="24"/>
          <w:szCs w:val="24"/>
        </w:rPr>
        <w:t>年</w:t>
      </w:r>
      <w:r w:rsidR="00611521">
        <w:rPr>
          <w:rFonts w:hint="eastAsia"/>
          <w:sz w:val="24"/>
          <w:szCs w:val="24"/>
        </w:rPr>
        <w:t>5</w:t>
      </w:r>
      <w:r w:rsidR="00A97F65">
        <w:rPr>
          <w:sz w:val="24"/>
          <w:szCs w:val="24"/>
        </w:rPr>
        <w:t>月</w:t>
      </w:r>
      <w:r w:rsidR="00BD7BB8">
        <w:rPr>
          <w:sz w:val="24"/>
          <w:szCs w:val="24"/>
        </w:rPr>
        <w:t>14</w:t>
      </w:r>
      <w:r>
        <w:rPr>
          <w:sz w:val="24"/>
          <w:szCs w:val="24"/>
        </w:rPr>
        <w:t>日</w:t>
      </w:r>
    </w:p>
    <w:sectPr w:rsidR="001C6DD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1A532" w14:textId="77777777" w:rsidR="008A725E" w:rsidRDefault="008A725E">
      <w:r>
        <w:separator/>
      </w:r>
    </w:p>
  </w:endnote>
  <w:endnote w:type="continuationSeparator" w:id="0">
    <w:p w14:paraId="7F9025E6" w14:textId="77777777" w:rsidR="008A725E" w:rsidRDefault="008A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EF994" w14:textId="77777777" w:rsidR="00A71ADE" w:rsidRDefault="00312A5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6B397F4D" w14:textId="77777777" w:rsidR="00A71ADE" w:rsidRDefault="00A71A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66408" w14:textId="77777777" w:rsidR="008A725E" w:rsidRDefault="008A725E">
      <w:r>
        <w:separator/>
      </w:r>
    </w:p>
  </w:footnote>
  <w:footnote w:type="continuationSeparator" w:id="0">
    <w:p w14:paraId="62F41F65" w14:textId="77777777" w:rsidR="008A725E" w:rsidRDefault="008A7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D14B" w14:textId="77777777" w:rsidR="00A71ADE" w:rsidRDefault="00000000">
    <w:pPr>
      <w:pStyle w:val="a5"/>
    </w:pPr>
    <w:r>
      <w:pict w14:anchorId="1A6FE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9297" o:spid="_x0000_s1025" type="#_x0000_t75" style="position:absolute;left:0;text-align:left;margin-left:0;margin-top:0;width:595.2pt;height:841.9pt;z-index:-251658752;mso-position-horizontal:center;mso-position-horizontal-relative:margin;mso-position-vertical:center;mso-position-vertical-relative:margin" o:allowincell="f">
          <v:imagedata r:id="rId1" o:title="通用信笺底板201402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AC15F" w14:textId="77777777" w:rsidR="00A71ADE" w:rsidRDefault="00000000">
    <w:pPr>
      <w:pStyle w:val="a5"/>
      <w:tabs>
        <w:tab w:val="clear" w:pos="8306"/>
        <w:tab w:val="right" w:pos="9214"/>
      </w:tabs>
      <w:ind w:leftChars="-608" w:left="-1277" w:rightChars="-634" w:right="-1331" w:firstLine="1"/>
    </w:pPr>
    <w:r>
      <w:pict w14:anchorId="52EEAB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9298" o:spid="_x0000_s1026" type="#_x0000_t75" style="position:absolute;left:0;text-align:left;margin-left:0;margin-top:0;width:595.2pt;height:841.9pt;z-index:-251657728;mso-position-horizontal:center;mso-position-horizontal-relative:margin;mso-position-vertical:center;mso-position-vertical-relative:margin" o:allowincell="f">
          <v:imagedata r:id="rId1" o:title="通用信笺底板201402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1B5C9" w14:textId="77777777" w:rsidR="00A71ADE" w:rsidRDefault="00000000">
    <w:pPr>
      <w:pStyle w:val="a5"/>
    </w:pPr>
    <w:r>
      <w:pict w14:anchorId="293A72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9296" o:spid="_x0000_s1027" type="#_x0000_t75" style="position:absolute;left:0;text-align:left;margin-left:0;margin-top:0;width:595.2pt;height:841.9pt;z-index:-251659776;mso-position-horizontal:center;mso-position-horizontal-relative:margin;mso-position-vertical:center;mso-position-vertical-relative:margin" o:allowincell="f">
          <v:imagedata r:id="rId1" o:title="通用信笺底板2014022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00082C74"/>
    <w:rsid w:val="E6FD42F4"/>
    <w:rsid w:val="E9DFC778"/>
    <w:rsid w:val="EB97A8B3"/>
    <w:rsid w:val="F77EDDE2"/>
    <w:rsid w:val="000021D9"/>
    <w:rsid w:val="00025414"/>
    <w:rsid w:val="00043CAD"/>
    <w:rsid w:val="00071AA2"/>
    <w:rsid w:val="00082C74"/>
    <w:rsid w:val="000874F2"/>
    <w:rsid w:val="0009099C"/>
    <w:rsid w:val="00091634"/>
    <w:rsid w:val="00092D68"/>
    <w:rsid w:val="000A0403"/>
    <w:rsid w:val="000A30FD"/>
    <w:rsid w:val="000B0102"/>
    <w:rsid w:val="000B259C"/>
    <w:rsid w:val="000C14B2"/>
    <w:rsid w:val="000C2C6E"/>
    <w:rsid w:val="000C3E00"/>
    <w:rsid w:val="000E0EB4"/>
    <w:rsid w:val="000E160E"/>
    <w:rsid w:val="000F1AA8"/>
    <w:rsid w:val="000F30A3"/>
    <w:rsid w:val="000F46E4"/>
    <w:rsid w:val="000F51AB"/>
    <w:rsid w:val="000F637D"/>
    <w:rsid w:val="000F7358"/>
    <w:rsid w:val="0010344B"/>
    <w:rsid w:val="00104638"/>
    <w:rsid w:val="00105A81"/>
    <w:rsid w:val="00107F07"/>
    <w:rsid w:val="00112E67"/>
    <w:rsid w:val="00114BAF"/>
    <w:rsid w:val="001269AC"/>
    <w:rsid w:val="00135405"/>
    <w:rsid w:val="00135555"/>
    <w:rsid w:val="00135B12"/>
    <w:rsid w:val="001368B9"/>
    <w:rsid w:val="0014267D"/>
    <w:rsid w:val="00151167"/>
    <w:rsid w:val="001518C5"/>
    <w:rsid w:val="0015270C"/>
    <w:rsid w:val="00154D55"/>
    <w:rsid w:val="00156485"/>
    <w:rsid w:val="001571D6"/>
    <w:rsid w:val="00160617"/>
    <w:rsid w:val="00163FD2"/>
    <w:rsid w:val="0018792D"/>
    <w:rsid w:val="00192CFC"/>
    <w:rsid w:val="001944F3"/>
    <w:rsid w:val="001A3F49"/>
    <w:rsid w:val="001B154C"/>
    <w:rsid w:val="001B5207"/>
    <w:rsid w:val="001C2A98"/>
    <w:rsid w:val="001C6DD8"/>
    <w:rsid w:val="001D1C15"/>
    <w:rsid w:val="001D4413"/>
    <w:rsid w:val="001D5FC9"/>
    <w:rsid w:val="001D6CAB"/>
    <w:rsid w:val="001E024C"/>
    <w:rsid w:val="001E1855"/>
    <w:rsid w:val="001E54D3"/>
    <w:rsid w:val="001F6F1A"/>
    <w:rsid w:val="002028A3"/>
    <w:rsid w:val="00202AC1"/>
    <w:rsid w:val="00205B49"/>
    <w:rsid w:val="0021331C"/>
    <w:rsid w:val="00220760"/>
    <w:rsid w:val="0022190D"/>
    <w:rsid w:val="002301F2"/>
    <w:rsid w:val="00230ABF"/>
    <w:rsid w:val="00233237"/>
    <w:rsid w:val="0023339A"/>
    <w:rsid w:val="0023370F"/>
    <w:rsid w:val="00237353"/>
    <w:rsid w:val="0024600F"/>
    <w:rsid w:val="00262C1A"/>
    <w:rsid w:val="00262C1B"/>
    <w:rsid w:val="002652B3"/>
    <w:rsid w:val="00265C09"/>
    <w:rsid w:val="00275AAA"/>
    <w:rsid w:val="00284104"/>
    <w:rsid w:val="00294679"/>
    <w:rsid w:val="002A452E"/>
    <w:rsid w:val="002A6767"/>
    <w:rsid w:val="002B621D"/>
    <w:rsid w:val="002B65FF"/>
    <w:rsid w:val="002B7B9C"/>
    <w:rsid w:val="002C60AC"/>
    <w:rsid w:val="002C64EF"/>
    <w:rsid w:val="002D1896"/>
    <w:rsid w:val="002D3F7D"/>
    <w:rsid w:val="002E4FA9"/>
    <w:rsid w:val="002E6D8B"/>
    <w:rsid w:val="002F6938"/>
    <w:rsid w:val="0030109C"/>
    <w:rsid w:val="00312A57"/>
    <w:rsid w:val="003138FE"/>
    <w:rsid w:val="00321911"/>
    <w:rsid w:val="003225AE"/>
    <w:rsid w:val="00322A41"/>
    <w:rsid w:val="00327CC5"/>
    <w:rsid w:val="00331307"/>
    <w:rsid w:val="003337DE"/>
    <w:rsid w:val="003608AC"/>
    <w:rsid w:val="00362208"/>
    <w:rsid w:val="00370804"/>
    <w:rsid w:val="00371FB1"/>
    <w:rsid w:val="00376191"/>
    <w:rsid w:val="00380B6E"/>
    <w:rsid w:val="003822F4"/>
    <w:rsid w:val="00384993"/>
    <w:rsid w:val="00393A13"/>
    <w:rsid w:val="003A052D"/>
    <w:rsid w:val="003A1EAB"/>
    <w:rsid w:val="003A47A9"/>
    <w:rsid w:val="003B7033"/>
    <w:rsid w:val="003C5EF2"/>
    <w:rsid w:val="003C796A"/>
    <w:rsid w:val="003E51AF"/>
    <w:rsid w:val="003F2749"/>
    <w:rsid w:val="003F2791"/>
    <w:rsid w:val="003F4CE6"/>
    <w:rsid w:val="004131F0"/>
    <w:rsid w:val="00414F53"/>
    <w:rsid w:val="00417201"/>
    <w:rsid w:val="00425524"/>
    <w:rsid w:val="00426591"/>
    <w:rsid w:val="0043223E"/>
    <w:rsid w:val="00433C60"/>
    <w:rsid w:val="00466C98"/>
    <w:rsid w:val="00466E5C"/>
    <w:rsid w:val="0047015D"/>
    <w:rsid w:val="00471384"/>
    <w:rsid w:val="0048041C"/>
    <w:rsid w:val="00483907"/>
    <w:rsid w:val="00483C83"/>
    <w:rsid w:val="00484546"/>
    <w:rsid w:val="00485010"/>
    <w:rsid w:val="00490797"/>
    <w:rsid w:val="00490CE5"/>
    <w:rsid w:val="00490D40"/>
    <w:rsid w:val="004A256D"/>
    <w:rsid w:val="004A34B6"/>
    <w:rsid w:val="004A367B"/>
    <w:rsid w:val="004B68FF"/>
    <w:rsid w:val="004C65EB"/>
    <w:rsid w:val="004C7FBE"/>
    <w:rsid w:val="004D1B21"/>
    <w:rsid w:val="004D1C06"/>
    <w:rsid w:val="004D3243"/>
    <w:rsid w:val="004D6979"/>
    <w:rsid w:val="004F6C43"/>
    <w:rsid w:val="004F6F43"/>
    <w:rsid w:val="00514F3F"/>
    <w:rsid w:val="0052449E"/>
    <w:rsid w:val="00531E13"/>
    <w:rsid w:val="00532AA5"/>
    <w:rsid w:val="005405AB"/>
    <w:rsid w:val="00547EA4"/>
    <w:rsid w:val="005621AE"/>
    <w:rsid w:val="0057432C"/>
    <w:rsid w:val="005816A6"/>
    <w:rsid w:val="00585919"/>
    <w:rsid w:val="00593AE1"/>
    <w:rsid w:val="00596909"/>
    <w:rsid w:val="005970A4"/>
    <w:rsid w:val="005A1A81"/>
    <w:rsid w:val="005A2032"/>
    <w:rsid w:val="005A5B8F"/>
    <w:rsid w:val="005C2107"/>
    <w:rsid w:val="005C33E8"/>
    <w:rsid w:val="005C4868"/>
    <w:rsid w:val="005C7571"/>
    <w:rsid w:val="005C7E4D"/>
    <w:rsid w:val="005D348A"/>
    <w:rsid w:val="005D4E28"/>
    <w:rsid w:val="005F6CEC"/>
    <w:rsid w:val="006023F1"/>
    <w:rsid w:val="00611521"/>
    <w:rsid w:val="00613F5E"/>
    <w:rsid w:val="0061714B"/>
    <w:rsid w:val="00632ACA"/>
    <w:rsid w:val="00655AE8"/>
    <w:rsid w:val="00656773"/>
    <w:rsid w:val="00662525"/>
    <w:rsid w:val="00666EB8"/>
    <w:rsid w:val="00670184"/>
    <w:rsid w:val="00675533"/>
    <w:rsid w:val="00676671"/>
    <w:rsid w:val="0068604C"/>
    <w:rsid w:val="00695F06"/>
    <w:rsid w:val="006A04C7"/>
    <w:rsid w:val="006A166F"/>
    <w:rsid w:val="006A539D"/>
    <w:rsid w:val="006B0C04"/>
    <w:rsid w:val="006B1ED0"/>
    <w:rsid w:val="006B4385"/>
    <w:rsid w:val="006B5F05"/>
    <w:rsid w:val="006C0D00"/>
    <w:rsid w:val="006C1330"/>
    <w:rsid w:val="006C1DAF"/>
    <w:rsid w:val="006C31F7"/>
    <w:rsid w:val="006C6FC9"/>
    <w:rsid w:val="006D7A36"/>
    <w:rsid w:val="006E30F8"/>
    <w:rsid w:val="006E3FE5"/>
    <w:rsid w:val="006F45B5"/>
    <w:rsid w:val="00703E3E"/>
    <w:rsid w:val="00704538"/>
    <w:rsid w:val="00714518"/>
    <w:rsid w:val="00715254"/>
    <w:rsid w:val="00720A53"/>
    <w:rsid w:val="00722960"/>
    <w:rsid w:val="0072320A"/>
    <w:rsid w:val="00723268"/>
    <w:rsid w:val="00725DCA"/>
    <w:rsid w:val="00727AEE"/>
    <w:rsid w:val="007460C7"/>
    <w:rsid w:val="00751BC3"/>
    <w:rsid w:val="007540CC"/>
    <w:rsid w:val="007A0250"/>
    <w:rsid w:val="007A227C"/>
    <w:rsid w:val="007A29EA"/>
    <w:rsid w:val="007C2EF2"/>
    <w:rsid w:val="007C6B1A"/>
    <w:rsid w:val="007D07FC"/>
    <w:rsid w:val="007D0D92"/>
    <w:rsid w:val="007D5C99"/>
    <w:rsid w:val="007F12F7"/>
    <w:rsid w:val="007F3B19"/>
    <w:rsid w:val="007F42DC"/>
    <w:rsid w:val="00813DE4"/>
    <w:rsid w:val="00815220"/>
    <w:rsid w:val="00817954"/>
    <w:rsid w:val="00822367"/>
    <w:rsid w:val="008345E6"/>
    <w:rsid w:val="008444E3"/>
    <w:rsid w:val="008518E9"/>
    <w:rsid w:val="0085490A"/>
    <w:rsid w:val="0085495B"/>
    <w:rsid w:val="008807F7"/>
    <w:rsid w:val="00883650"/>
    <w:rsid w:val="00897E9F"/>
    <w:rsid w:val="008A2BE2"/>
    <w:rsid w:val="008A40DD"/>
    <w:rsid w:val="008A5B6E"/>
    <w:rsid w:val="008A6D32"/>
    <w:rsid w:val="008A725E"/>
    <w:rsid w:val="008A7399"/>
    <w:rsid w:val="008B2749"/>
    <w:rsid w:val="008C27D2"/>
    <w:rsid w:val="008C426B"/>
    <w:rsid w:val="008C71E7"/>
    <w:rsid w:val="008D0465"/>
    <w:rsid w:val="008D4935"/>
    <w:rsid w:val="008D666C"/>
    <w:rsid w:val="008D7BD8"/>
    <w:rsid w:val="008D7F1A"/>
    <w:rsid w:val="008D7FFA"/>
    <w:rsid w:val="008F0BFC"/>
    <w:rsid w:val="008F0E56"/>
    <w:rsid w:val="008F66EA"/>
    <w:rsid w:val="008F77E7"/>
    <w:rsid w:val="009016CE"/>
    <w:rsid w:val="00917566"/>
    <w:rsid w:val="00921A9B"/>
    <w:rsid w:val="0092346A"/>
    <w:rsid w:val="009327CB"/>
    <w:rsid w:val="00932BC4"/>
    <w:rsid w:val="00934BE6"/>
    <w:rsid w:val="00936295"/>
    <w:rsid w:val="009378BB"/>
    <w:rsid w:val="0094267F"/>
    <w:rsid w:val="00952DDB"/>
    <w:rsid w:val="00960FEB"/>
    <w:rsid w:val="00964326"/>
    <w:rsid w:val="00964BA9"/>
    <w:rsid w:val="009664FF"/>
    <w:rsid w:val="00977C2B"/>
    <w:rsid w:val="00987010"/>
    <w:rsid w:val="009B5ADD"/>
    <w:rsid w:val="009D38EE"/>
    <w:rsid w:val="009D5FDF"/>
    <w:rsid w:val="009D63BC"/>
    <w:rsid w:val="009E534C"/>
    <w:rsid w:val="009F3676"/>
    <w:rsid w:val="009F39DD"/>
    <w:rsid w:val="00A13724"/>
    <w:rsid w:val="00A14C19"/>
    <w:rsid w:val="00A16E7A"/>
    <w:rsid w:val="00A21810"/>
    <w:rsid w:val="00A37FE7"/>
    <w:rsid w:val="00A44722"/>
    <w:rsid w:val="00A539A7"/>
    <w:rsid w:val="00A66FA3"/>
    <w:rsid w:val="00A71ADE"/>
    <w:rsid w:val="00A728EE"/>
    <w:rsid w:val="00A736CC"/>
    <w:rsid w:val="00A77552"/>
    <w:rsid w:val="00A803AD"/>
    <w:rsid w:val="00A87EE8"/>
    <w:rsid w:val="00A93470"/>
    <w:rsid w:val="00A93D35"/>
    <w:rsid w:val="00A97F65"/>
    <w:rsid w:val="00AA7C2A"/>
    <w:rsid w:val="00AB23D2"/>
    <w:rsid w:val="00AB498A"/>
    <w:rsid w:val="00AB78EE"/>
    <w:rsid w:val="00AE2545"/>
    <w:rsid w:val="00AE399B"/>
    <w:rsid w:val="00AF1AA1"/>
    <w:rsid w:val="00B05C9D"/>
    <w:rsid w:val="00B067F4"/>
    <w:rsid w:val="00B15397"/>
    <w:rsid w:val="00B175AE"/>
    <w:rsid w:val="00B20EBD"/>
    <w:rsid w:val="00B31185"/>
    <w:rsid w:val="00B3268C"/>
    <w:rsid w:val="00B33DDB"/>
    <w:rsid w:val="00B45789"/>
    <w:rsid w:val="00B46235"/>
    <w:rsid w:val="00B5190B"/>
    <w:rsid w:val="00B5371B"/>
    <w:rsid w:val="00B81168"/>
    <w:rsid w:val="00B83A2C"/>
    <w:rsid w:val="00B852D5"/>
    <w:rsid w:val="00B95F6B"/>
    <w:rsid w:val="00BA54BF"/>
    <w:rsid w:val="00BB4509"/>
    <w:rsid w:val="00BC3541"/>
    <w:rsid w:val="00BC58B4"/>
    <w:rsid w:val="00BC71DC"/>
    <w:rsid w:val="00BD0E6E"/>
    <w:rsid w:val="00BD7BB8"/>
    <w:rsid w:val="00BD7CC5"/>
    <w:rsid w:val="00BE34AD"/>
    <w:rsid w:val="00BE6B2C"/>
    <w:rsid w:val="00BF6448"/>
    <w:rsid w:val="00C108F7"/>
    <w:rsid w:val="00C23057"/>
    <w:rsid w:val="00C520BC"/>
    <w:rsid w:val="00C6343F"/>
    <w:rsid w:val="00C667E0"/>
    <w:rsid w:val="00C72AC9"/>
    <w:rsid w:val="00C87E07"/>
    <w:rsid w:val="00C952A3"/>
    <w:rsid w:val="00CA0AA2"/>
    <w:rsid w:val="00CA31EB"/>
    <w:rsid w:val="00CA60D7"/>
    <w:rsid w:val="00CB0471"/>
    <w:rsid w:val="00CB3F82"/>
    <w:rsid w:val="00CD04BA"/>
    <w:rsid w:val="00CD0EA9"/>
    <w:rsid w:val="00CD4982"/>
    <w:rsid w:val="00CD4AD5"/>
    <w:rsid w:val="00CF085E"/>
    <w:rsid w:val="00D001AA"/>
    <w:rsid w:val="00D20E3C"/>
    <w:rsid w:val="00D251ED"/>
    <w:rsid w:val="00D304E0"/>
    <w:rsid w:val="00D316A4"/>
    <w:rsid w:val="00D32EC0"/>
    <w:rsid w:val="00D3320B"/>
    <w:rsid w:val="00D343ED"/>
    <w:rsid w:val="00D352BD"/>
    <w:rsid w:val="00D360D2"/>
    <w:rsid w:val="00D41845"/>
    <w:rsid w:val="00D47D3E"/>
    <w:rsid w:val="00D57B96"/>
    <w:rsid w:val="00D717BE"/>
    <w:rsid w:val="00D749CE"/>
    <w:rsid w:val="00D76E0E"/>
    <w:rsid w:val="00D80E92"/>
    <w:rsid w:val="00D8434F"/>
    <w:rsid w:val="00D87642"/>
    <w:rsid w:val="00D9225C"/>
    <w:rsid w:val="00D9291D"/>
    <w:rsid w:val="00D9662B"/>
    <w:rsid w:val="00DB18BC"/>
    <w:rsid w:val="00DB2F03"/>
    <w:rsid w:val="00DC474F"/>
    <w:rsid w:val="00DE48DD"/>
    <w:rsid w:val="00DE6FDD"/>
    <w:rsid w:val="00DE7EB5"/>
    <w:rsid w:val="00DF171A"/>
    <w:rsid w:val="00DF193C"/>
    <w:rsid w:val="00E00F7E"/>
    <w:rsid w:val="00E02832"/>
    <w:rsid w:val="00E05887"/>
    <w:rsid w:val="00E27F67"/>
    <w:rsid w:val="00E343F9"/>
    <w:rsid w:val="00E43F97"/>
    <w:rsid w:val="00E44B0D"/>
    <w:rsid w:val="00E44F02"/>
    <w:rsid w:val="00E61333"/>
    <w:rsid w:val="00E622C8"/>
    <w:rsid w:val="00E62EF9"/>
    <w:rsid w:val="00E65FB4"/>
    <w:rsid w:val="00E76BFB"/>
    <w:rsid w:val="00E86D4A"/>
    <w:rsid w:val="00E9206D"/>
    <w:rsid w:val="00EA7EE3"/>
    <w:rsid w:val="00EB3E0E"/>
    <w:rsid w:val="00EB77D3"/>
    <w:rsid w:val="00EC3BFD"/>
    <w:rsid w:val="00EC4018"/>
    <w:rsid w:val="00EE3790"/>
    <w:rsid w:val="00EE3DD4"/>
    <w:rsid w:val="00EE4FB1"/>
    <w:rsid w:val="00EF2C31"/>
    <w:rsid w:val="00EF5FF6"/>
    <w:rsid w:val="00EF76BA"/>
    <w:rsid w:val="00F0345F"/>
    <w:rsid w:val="00F06826"/>
    <w:rsid w:val="00F12A30"/>
    <w:rsid w:val="00F30DCE"/>
    <w:rsid w:val="00F34CA8"/>
    <w:rsid w:val="00F36EFA"/>
    <w:rsid w:val="00F41EE1"/>
    <w:rsid w:val="00F42B3B"/>
    <w:rsid w:val="00F45367"/>
    <w:rsid w:val="00F466E8"/>
    <w:rsid w:val="00F508FA"/>
    <w:rsid w:val="00F5139B"/>
    <w:rsid w:val="00F65DE9"/>
    <w:rsid w:val="00F67118"/>
    <w:rsid w:val="00F73824"/>
    <w:rsid w:val="00F74B90"/>
    <w:rsid w:val="00F811F1"/>
    <w:rsid w:val="00F871D5"/>
    <w:rsid w:val="00F96EC6"/>
    <w:rsid w:val="00FA0911"/>
    <w:rsid w:val="00FB3E16"/>
    <w:rsid w:val="00FB6044"/>
    <w:rsid w:val="00FE03FF"/>
    <w:rsid w:val="00FF0FF1"/>
    <w:rsid w:val="00FF5751"/>
    <w:rsid w:val="00FF7648"/>
    <w:rsid w:val="01EB3247"/>
    <w:rsid w:val="027821D4"/>
    <w:rsid w:val="038F6CDA"/>
    <w:rsid w:val="03A34D06"/>
    <w:rsid w:val="040327B2"/>
    <w:rsid w:val="044D191B"/>
    <w:rsid w:val="07B84FB0"/>
    <w:rsid w:val="0A097C5A"/>
    <w:rsid w:val="0D2D522C"/>
    <w:rsid w:val="0F02192F"/>
    <w:rsid w:val="10483D83"/>
    <w:rsid w:val="11E74B6B"/>
    <w:rsid w:val="12E77F91"/>
    <w:rsid w:val="13547C7B"/>
    <w:rsid w:val="143F3FFF"/>
    <w:rsid w:val="14EE06E6"/>
    <w:rsid w:val="165669B3"/>
    <w:rsid w:val="16915BAE"/>
    <w:rsid w:val="17795811"/>
    <w:rsid w:val="17E11842"/>
    <w:rsid w:val="19D15B95"/>
    <w:rsid w:val="1AE709B1"/>
    <w:rsid w:val="1AF866CC"/>
    <w:rsid w:val="1BF765EF"/>
    <w:rsid w:val="1CA86413"/>
    <w:rsid w:val="1DB81207"/>
    <w:rsid w:val="1FF5E3CD"/>
    <w:rsid w:val="22EE0EB9"/>
    <w:rsid w:val="274A50E1"/>
    <w:rsid w:val="28E31CE4"/>
    <w:rsid w:val="29192502"/>
    <w:rsid w:val="2A1E2591"/>
    <w:rsid w:val="2CF91854"/>
    <w:rsid w:val="2D780E25"/>
    <w:rsid w:val="2E84005D"/>
    <w:rsid w:val="31211DA1"/>
    <w:rsid w:val="3250281F"/>
    <w:rsid w:val="32FF7EB7"/>
    <w:rsid w:val="355E4668"/>
    <w:rsid w:val="37965442"/>
    <w:rsid w:val="383A0DD3"/>
    <w:rsid w:val="3C4C18D2"/>
    <w:rsid w:val="3C7026E0"/>
    <w:rsid w:val="3C8D4BE6"/>
    <w:rsid w:val="3D20135F"/>
    <w:rsid w:val="3D407F0C"/>
    <w:rsid w:val="3D532B05"/>
    <w:rsid w:val="3D5A2CB5"/>
    <w:rsid w:val="3F72B549"/>
    <w:rsid w:val="3FE66CDC"/>
    <w:rsid w:val="4015092F"/>
    <w:rsid w:val="433E7EE2"/>
    <w:rsid w:val="437A2F87"/>
    <w:rsid w:val="439E377F"/>
    <w:rsid w:val="44D16CCE"/>
    <w:rsid w:val="464F3363"/>
    <w:rsid w:val="47257848"/>
    <w:rsid w:val="48A06010"/>
    <w:rsid w:val="4AD41253"/>
    <w:rsid w:val="4AD711F9"/>
    <w:rsid w:val="4B5A4F44"/>
    <w:rsid w:val="4C401962"/>
    <w:rsid w:val="4CC84E8C"/>
    <w:rsid w:val="52F86587"/>
    <w:rsid w:val="548D0C44"/>
    <w:rsid w:val="554E6B03"/>
    <w:rsid w:val="55890583"/>
    <w:rsid w:val="55C44544"/>
    <w:rsid w:val="58E2665F"/>
    <w:rsid w:val="58E946B3"/>
    <w:rsid w:val="59F83E12"/>
    <w:rsid w:val="5A4A559B"/>
    <w:rsid w:val="5A6516AD"/>
    <w:rsid w:val="5BB05D7C"/>
    <w:rsid w:val="5BFDE161"/>
    <w:rsid w:val="5C4D5F83"/>
    <w:rsid w:val="5CE94535"/>
    <w:rsid w:val="5F06794C"/>
    <w:rsid w:val="5F331536"/>
    <w:rsid w:val="5FAF7F87"/>
    <w:rsid w:val="5FC37DE4"/>
    <w:rsid w:val="61032E37"/>
    <w:rsid w:val="61041CC2"/>
    <w:rsid w:val="61FB144F"/>
    <w:rsid w:val="62394BBB"/>
    <w:rsid w:val="62D41433"/>
    <w:rsid w:val="64510A1B"/>
    <w:rsid w:val="646B1ECF"/>
    <w:rsid w:val="64BE0654"/>
    <w:rsid w:val="65B110CD"/>
    <w:rsid w:val="66BA587D"/>
    <w:rsid w:val="66DF3B52"/>
    <w:rsid w:val="67CB4CF0"/>
    <w:rsid w:val="68CF2103"/>
    <w:rsid w:val="69C06C16"/>
    <w:rsid w:val="69DF7D42"/>
    <w:rsid w:val="6A115F93"/>
    <w:rsid w:val="6A5C730C"/>
    <w:rsid w:val="6B1000B4"/>
    <w:rsid w:val="6C4F5883"/>
    <w:rsid w:val="6DFF430D"/>
    <w:rsid w:val="6E53278F"/>
    <w:rsid w:val="6FBF5F0A"/>
    <w:rsid w:val="6FD54E8A"/>
    <w:rsid w:val="71072C7D"/>
    <w:rsid w:val="71694FAA"/>
    <w:rsid w:val="72E94550"/>
    <w:rsid w:val="7463267F"/>
    <w:rsid w:val="75822AD7"/>
    <w:rsid w:val="769C314D"/>
    <w:rsid w:val="77F426D1"/>
    <w:rsid w:val="78892558"/>
    <w:rsid w:val="7AAC16F7"/>
    <w:rsid w:val="7ADB6844"/>
    <w:rsid w:val="7BD37033"/>
    <w:rsid w:val="7C757377"/>
    <w:rsid w:val="7EBF0D00"/>
    <w:rsid w:val="7F867444"/>
    <w:rsid w:val="7FFF8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8E40646"/>
  <w15:chartTrackingRefBased/>
  <w15:docId w15:val="{9461D7A8-E4D2-4CE9-8562-921C6E02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200" w:line="360" w:lineRule="auto"/>
      <w:ind w:firstLineChars="200" w:firstLine="480"/>
      <w:outlineLvl w:val="2"/>
    </w:pPr>
    <w:rPr>
      <w:rFonts w:ascii="Calibri" w:hAnsi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uiPriority w:val="9"/>
    <w:qFormat/>
    <w:rPr>
      <w:rFonts w:ascii="Calibri" w:eastAsia="宋体" w:hAnsi="Calibri"/>
      <w:b/>
      <w:sz w:val="24"/>
    </w:rPr>
  </w:style>
  <w:style w:type="character" w:styleId="a3">
    <w:name w:val="page number"/>
    <w:uiPriority w:val="99"/>
    <w:unhideWhenUsed/>
    <w:rPr>
      <w:rFonts w:cs="Times New Roman"/>
    </w:rPr>
  </w:style>
  <w:style w:type="character" w:customStyle="1" w:styleId="a4">
    <w:name w:val="页眉 字符"/>
    <w:link w:val="a5"/>
    <w:uiPriority w:val="99"/>
    <w:semiHidden/>
    <w:rPr>
      <w:sz w:val="18"/>
      <w:szCs w:val="18"/>
    </w:rPr>
  </w:style>
  <w:style w:type="character" w:customStyle="1" w:styleId="HTML">
    <w:name w:val="HTML 预设格式 字符"/>
    <w:link w:val="HTML0"/>
    <w:uiPriority w:val="99"/>
    <w:rPr>
      <w:rFonts w:ascii="宋体" w:hAnsi="宋体" w:cs="宋体"/>
      <w:sz w:val="24"/>
      <w:szCs w:val="24"/>
    </w:rPr>
  </w:style>
  <w:style w:type="character" w:customStyle="1" w:styleId="a6">
    <w:name w:val="页脚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kern w:val="2"/>
      <w:sz w:val="18"/>
      <w:szCs w:val="18"/>
    </w:rPr>
  </w:style>
  <w:style w:type="paragraph" w:styleId="HTML0">
    <w:name w:val="HTML Preformatted"/>
    <w:basedOn w:val="a"/>
    <w:link w:val="HTML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pPr>
      <w:jc w:val="left"/>
    </w:pPr>
  </w:style>
  <w:style w:type="paragraph" w:styleId="ac">
    <w:name w:val="Revision"/>
    <w:uiPriority w:val="99"/>
    <w:unhideWhenUsed/>
    <w:rPr>
      <w:kern w:val="2"/>
      <w:sz w:val="21"/>
      <w:szCs w:val="22"/>
    </w:rPr>
  </w:style>
  <w:style w:type="paragraph" w:customStyle="1" w:styleId="Ad">
    <w:name w:val="正文 A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semiHidden/>
    <w:unhideWhenUsed/>
    <w:rsid w:val="003A47A9"/>
    <w:rPr>
      <w:sz w:val="21"/>
      <w:szCs w:val="21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3A47A9"/>
    <w:rPr>
      <w:b/>
      <w:bCs/>
    </w:rPr>
  </w:style>
  <w:style w:type="character" w:customStyle="1" w:styleId="ab">
    <w:name w:val="批注文字 字符"/>
    <w:basedOn w:val="a0"/>
    <w:link w:val="aa"/>
    <w:uiPriority w:val="99"/>
    <w:rsid w:val="003A47A9"/>
    <w:rPr>
      <w:kern w:val="2"/>
      <w:sz w:val="21"/>
      <w:szCs w:val="22"/>
    </w:rPr>
  </w:style>
  <w:style w:type="character" w:customStyle="1" w:styleId="af1">
    <w:name w:val="批注主题 字符"/>
    <w:basedOn w:val="ab"/>
    <w:link w:val="af0"/>
    <w:uiPriority w:val="99"/>
    <w:semiHidden/>
    <w:rsid w:val="003A47A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399</Words>
  <Characters>2277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>company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王琴</dc:creator>
  <cp:keywords/>
  <cp:lastModifiedBy>QH</cp:lastModifiedBy>
  <cp:revision>18</cp:revision>
  <cp:lastPrinted>2024-09-05T02:45:00Z</cp:lastPrinted>
  <dcterms:created xsi:type="dcterms:W3CDTF">2025-05-13T15:55:00Z</dcterms:created>
  <dcterms:modified xsi:type="dcterms:W3CDTF">2025-05-14T10:22:00Z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950CE0DB7C20426AA67FD88CC7E94E45_13</vt:lpwstr>
  </property>
</Properties>
</file>